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ABA" w:rsidRPr="00295ABA" w:rsidRDefault="00295ABA" w:rsidP="00295ABA">
      <w:pPr>
        <w:shd w:val="clear" w:color="auto" w:fill="FFFFFF"/>
        <w:spacing w:before="100" w:beforeAutospacing="1" w:after="240" w:line="270" w:lineRule="atLeast"/>
        <w:rPr>
          <w:rFonts w:ascii="Verdana" w:eastAsia="Times New Roman" w:hAnsi="Verdana" w:cs="Times New Roman"/>
          <w:color w:val="000000"/>
          <w:sz w:val="18"/>
          <w:szCs w:val="18"/>
        </w:rPr>
      </w:pPr>
      <w:r w:rsidRPr="00295ABA">
        <w:rPr>
          <w:rFonts w:ascii="Arial" w:eastAsia="Times New Roman" w:hAnsi="Arial" w:cs="Arial"/>
          <w:color w:val="CC6601"/>
          <w:sz w:val="27"/>
          <w:szCs w:val="27"/>
        </w:rPr>
        <w:t>Management of autoimmune urticaria</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hyperlink r:id="rId4" w:tgtFrame="_blank" w:history="1">
        <w:r w:rsidRPr="00295ABA">
          <w:rPr>
            <w:rFonts w:ascii="Arial" w:eastAsia="Times New Roman" w:hAnsi="Arial" w:cs="Arial"/>
            <w:b/>
            <w:bCs/>
            <w:color w:val="004080"/>
            <w:sz w:val="18"/>
          </w:rPr>
          <w:t>Arun C Inamadar</w:t>
        </w:r>
      </w:hyperlink>
      <w:r w:rsidRPr="00295ABA">
        <w:rPr>
          <w:rFonts w:ascii="Arial" w:eastAsia="Times New Roman" w:hAnsi="Arial" w:cs="Arial"/>
          <w:b/>
          <w:bCs/>
          <w:color w:val="000000"/>
          <w:sz w:val="18"/>
          <w:szCs w:val="18"/>
        </w:rPr>
        <w:t>,</w:t>
      </w:r>
      <w:r w:rsidRPr="00295ABA">
        <w:rPr>
          <w:rFonts w:ascii="Arial" w:eastAsia="Times New Roman" w:hAnsi="Arial" w:cs="Arial"/>
          <w:b/>
          <w:bCs/>
          <w:color w:val="000000"/>
          <w:sz w:val="18"/>
        </w:rPr>
        <w:t> </w:t>
      </w:r>
      <w:hyperlink r:id="rId5" w:tgtFrame="_blank" w:history="1">
        <w:r w:rsidRPr="00295ABA">
          <w:rPr>
            <w:rFonts w:ascii="Arial" w:eastAsia="Times New Roman" w:hAnsi="Arial" w:cs="Arial"/>
            <w:b/>
            <w:bCs/>
            <w:color w:val="004080"/>
            <w:sz w:val="18"/>
          </w:rPr>
          <w:t>Aparna Palit</w:t>
        </w:r>
      </w:hyperlink>
      <w:r w:rsidRPr="00295ABA">
        <w:rPr>
          <w:rFonts w:ascii="Verdana" w:eastAsia="Times New Roman" w:hAnsi="Verdana" w:cs="Times New Roman"/>
          <w:color w:val="000000"/>
          <w:sz w:val="18"/>
          <w:szCs w:val="18"/>
        </w:rPr>
        <w:br/>
      </w:r>
      <w:r w:rsidRPr="00295ABA">
        <w:rPr>
          <w:rFonts w:ascii="Arial" w:eastAsia="Times New Roman" w:hAnsi="Arial" w:cs="Arial"/>
          <w:color w:val="1F1F1F"/>
          <w:sz w:val="17"/>
          <w:szCs w:val="17"/>
        </w:rPr>
        <w:t>Department of Dermatology, Venereology and Leprosy, BLDEA's SBMP Medical College, Hospital and Research Center, Bijapur, Karnataka, India</w:t>
      </w:r>
    </w:p>
    <w:p w:rsidR="00295ABA" w:rsidRPr="00295ABA" w:rsidRDefault="00295ABA" w:rsidP="00295ABA">
      <w:pPr>
        <w:shd w:val="clear" w:color="auto" w:fill="FFFFFF"/>
        <w:spacing w:before="100" w:beforeAutospacing="1" w:after="100" w:afterAutospacing="1" w:line="270" w:lineRule="atLeast"/>
        <w:rPr>
          <w:rFonts w:ascii="Verdana" w:eastAsia="Times New Roman" w:hAnsi="Verdana" w:cs="Times New Roman"/>
          <w:color w:val="000000"/>
          <w:sz w:val="18"/>
          <w:szCs w:val="18"/>
        </w:rPr>
      </w:pPr>
      <w:r w:rsidRPr="00295ABA">
        <w:rPr>
          <w:rFonts w:ascii="Arial" w:eastAsia="Times New Roman" w:hAnsi="Arial" w:cs="Arial"/>
          <w:b/>
          <w:bCs/>
          <w:color w:val="1F1F3F"/>
          <w:sz w:val="17"/>
          <w:szCs w:val="17"/>
        </w:rPr>
        <w:t>Correspondence Address</w:t>
      </w:r>
      <w:r w:rsidRPr="00295ABA">
        <w:rPr>
          <w:rFonts w:ascii="Arial" w:eastAsia="Times New Roman" w:hAnsi="Arial" w:cs="Arial"/>
          <w:color w:val="1F1F3F"/>
          <w:sz w:val="17"/>
          <w:szCs w:val="17"/>
        </w:rPr>
        <w:t>:</w:t>
      </w:r>
      <w:r w:rsidRPr="00295ABA">
        <w:rPr>
          <w:rFonts w:ascii="Arial" w:eastAsia="Times New Roman" w:hAnsi="Arial" w:cs="Arial"/>
          <w:color w:val="1F1F3F"/>
          <w:sz w:val="17"/>
          <w:szCs w:val="17"/>
        </w:rPr>
        <w:br/>
        <w:t>Arun C Inamadar</w:t>
      </w:r>
      <w:r w:rsidRPr="00295ABA">
        <w:rPr>
          <w:rFonts w:ascii="Arial" w:eastAsia="Times New Roman" w:hAnsi="Arial" w:cs="Arial"/>
          <w:color w:val="1F1F3F"/>
          <w:sz w:val="17"/>
          <w:szCs w:val="17"/>
        </w:rPr>
        <w:br/>
        <w:t>Department of Dermatology, Venereology and Leprosy, BLDEA's SBMP Medical College, Hospital and Research Center, Bijapur - 586 103, Karnataka</w:t>
      </w:r>
      <w:r w:rsidRPr="00295ABA">
        <w:rPr>
          <w:rFonts w:ascii="Arial" w:eastAsia="Times New Roman" w:hAnsi="Arial" w:cs="Arial"/>
          <w:color w:val="1F1F3F"/>
          <w:sz w:val="17"/>
        </w:rPr>
        <w:t> </w:t>
      </w:r>
      <w:r w:rsidRPr="00295ABA">
        <w:rPr>
          <w:rFonts w:ascii="Arial" w:eastAsia="Times New Roman" w:hAnsi="Arial" w:cs="Arial"/>
          <w:color w:val="1F1F3F"/>
          <w:sz w:val="17"/>
          <w:szCs w:val="17"/>
        </w:rPr>
        <w:br/>
        <w:t>India</w:t>
      </w:r>
      <w:r w:rsidRPr="00295ABA">
        <w:rPr>
          <w:rFonts w:ascii="Arial" w:eastAsia="Times New Roman" w:hAnsi="Arial" w:cs="Arial"/>
          <w:color w:val="1F1F3F"/>
          <w:sz w:val="17"/>
          <w:szCs w:val="17"/>
        </w:rPr>
        <w:br/>
      </w:r>
      <w:r>
        <w:rPr>
          <w:rFonts w:ascii="Arial" w:eastAsia="Times New Roman" w:hAnsi="Arial" w:cs="Arial"/>
          <w:noProof/>
          <w:color w:val="004080"/>
          <w:sz w:val="18"/>
          <w:szCs w:val="18"/>
        </w:rPr>
        <w:drawing>
          <wp:inline distT="0" distB="0" distL="0" distR="0">
            <wp:extent cx="1428750" cy="161925"/>
            <wp:effectExtent l="19050" t="0" r="0" b="0"/>
            <wp:docPr id="1" name="Picture 1" descr="Login to access the Email id">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n to access the Email id">
                      <a:hlinkClick r:id="rId6"/>
                    </pic:cNvPr>
                    <pic:cNvPicPr>
                      <a:picLocks noChangeAspect="1" noChangeArrowheads="1"/>
                    </pic:cNvPicPr>
                  </pic:nvPicPr>
                  <pic:blipFill>
                    <a:blip r:embed="rId7"/>
                    <a:srcRect/>
                    <a:stretch>
                      <a:fillRect/>
                    </a:stretch>
                  </pic:blipFill>
                  <pic:spPr bwMode="auto">
                    <a:xfrm>
                      <a:off x="0" y="0"/>
                      <a:ext cx="1428750" cy="161925"/>
                    </a:xfrm>
                    <a:prstGeom prst="rect">
                      <a:avLst/>
                    </a:prstGeom>
                    <a:noFill/>
                    <a:ln w="9525">
                      <a:noFill/>
                      <a:miter lim="800000"/>
                      <a:headEnd/>
                      <a:tailEnd/>
                    </a:ln>
                  </pic:spPr>
                </pic:pic>
              </a:graphicData>
            </a:graphic>
          </wp:inline>
        </w:drawing>
      </w:r>
    </w:p>
    <w:tbl>
      <w:tblPr>
        <w:tblW w:w="5000" w:type="pct"/>
        <w:tblCellSpacing w:w="15" w:type="dxa"/>
        <w:tblCellMar>
          <w:top w:w="15" w:type="dxa"/>
          <w:left w:w="15" w:type="dxa"/>
          <w:bottom w:w="15" w:type="dxa"/>
          <w:right w:w="15" w:type="dxa"/>
        </w:tblCellMar>
        <w:tblLook w:val="04A0"/>
      </w:tblPr>
      <w:tblGrid>
        <w:gridCol w:w="6747"/>
        <w:gridCol w:w="1401"/>
        <w:gridCol w:w="30"/>
        <w:gridCol w:w="1317"/>
      </w:tblGrid>
      <w:tr w:rsidR="00295ABA" w:rsidRPr="00295ABA" w:rsidTr="00295ABA">
        <w:trPr>
          <w:tblCellSpacing w:w="15" w:type="dxa"/>
        </w:trPr>
        <w:tc>
          <w:tcPr>
            <w:tcW w:w="0" w:type="auto"/>
            <w:gridSpan w:val="3"/>
            <w:vAlign w:val="center"/>
            <w:hideMark/>
          </w:tcPr>
          <w:p w:rsidR="00295ABA" w:rsidRPr="00295ABA" w:rsidRDefault="00295ABA" w:rsidP="00295AB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38175" cy="352425"/>
                  <wp:effectExtent l="19050" t="0" r="9525" b="0"/>
                  <wp:docPr id="2" name="Picture 2" descr="Crossref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ossref citations"/>
                          <pic:cNvPicPr>
                            <a:picLocks noChangeAspect="1" noChangeArrowheads="1"/>
                          </pic:cNvPicPr>
                        </pic:nvPicPr>
                        <pic:blipFill>
                          <a:blip r:embed="rId8"/>
                          <a:srcRect/>
                          <a:stretch>
                            <a:fillRect/>
                          </a:stretch>
                        </pic:blipFill>
                        <pic:spPr bwMode="auto">
                          <a:xfrm>
                            <a:off x="0" y="0"/>
                            <a:ext cx="638175" cy="352425"/>
                          </a:xfrm>
                          <a:prstGeom prst="rect">
                            <a:avLst/>
                          </a:prstGeom>
                          <a:noFill/>
                          <a:ln w="9525">
                            <a:noFill/>
                            <a:miter lim="800000"/>
                            <a:headEnd/>
                            <a:tailEnd/>
                          </a:ln>
                        </pic:spPr>
                      </pic:pic>
                    </a:graphicData>
                  </a:graphic>
                </wp:inline>
              </w:drawing>
            </w:r>
          </w:p>
        </w:tc>
        <w:tc>
          <w:tcPr>
            <w:tcW w:w="0" w:type="auto"/>
            <w:shd w:val="clear" w:color="auto" w:fill="DDDDDD"/>
            <w:tcMar>
              <w:top w:w="60" w:type="dxa"/>
              <w:left w:w="60" w:type="dxa"/>
              <w:bottom w:w="60" w:type="dxa"/>
              <w:right w:w="60" w:type="dxa"/>
            </w:tcMar>
            <w:vAlign w:val="center"/>
            <w:hideMark/>
          </w:tcPr>
          <w:p w:rsidR="00295ABA" w:rsidRPr="00295ABA" w:rsidRDefault="00295ABA" w:rsidP="00295ABA">
            <w:pPr>
              <w:spacing w:after="0" w:line="240" w:lineRule="auto"/>
              <w:rPr>
                <w:rFonts w:ascii="Times New Roman" w:eastAsia="Times New Roman" w:hAnsi="Times New Roman" w:cs="Times New Roman"/>
                <w:sz w:val="17"/>
                <w:szCs w:val="17"/>
              </w:rPr>
            </w:pPr>
            <w:r w:rsidRPr="00295ABA">
              <w:rPr>
                <w:rFonts w:ascii="Times New Roman" w:eastAsia="Times New Roman" w:hAnsi="Times New Roman" w:cs="Times New Roman"/>
                <w:b/>
                <w:bCs/>
                <w:sz w:val="17"/>
                <w:szCs w:val="17"/>
              </w:rPr>
              <w:t>1</w:t>
            </w:r>
          </w:p>
        </w:tc>
      </w:tr>
      <w:tr w:rsidR="00295ABA" w:rsidRPr="00295ABA" w:rsidTr="00295ABA">
        <w:trPr>
          <w:gridAfter w:val="2"/>
          <w:tblCellSpacing w:w="15" w:type="dxa"/>
        </w:trPr>
        <w:tc>
          <w:tcPr>
            <w:tcW w:w="0" w:type="auto"/>
            <w:vAlign w:val="center"/>
            <w:hideMark/>
          </w:tcPr>
          <w:p w:rsidR="00295ABA" w:rsidRPr="00295ABA" w:rsidRDefault="00295ABA" w:rsidP="00295ABA">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38175" cy="352425"/>
                  <wp:effectExtent l="19050" t="0" r="9525" b="0"/>
                  <wp:docPr id="3" name="Picture 3" descr="PMC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MC citations"/>
                          <pic:cNvPicPr>
                            <a:picLocks noChangeAspect="1" noChangeArrowheads="1"/>
                          </pic:cNvPicPr>
                        </pic:nvPicPr>
                        <pic:blipFill>
                          <a:blip r:embed="rId9"/>
                          <a:srcRect/>
                          <a:stretch>
                            <a:fillRect/>
                          </a:stretch>
                        </pic:blipFill>
                        <pic:spPr bwMode="auto">
                          <a:xfrm>
                            <a:off x="0" y="0"/>
                            <a:ext cx="638175" cy="352425"/>
                          </a:xfrm>
                          <a:prstGeom prst="rect">
                            <a:avLst/>
                          </a:prstGeom>
                          <a:noFill/>
                          <a:ln w="9525">
                            <a:noFill/>
                            <a:miter lim="800000"/>
                            <a:headEnd/>
                            <a:tailEnd/>
                          </a:ln>
                        </pic:spPr>
                      </pic:pic>
                    </a:graphicData>
                  </a:graphic>
                </wp:inline>
              </w:drawing>
            </w:r>
          </w:p>
        </w:tc>
        <w:tc>
          <w:tcPr>
            <w:tcW w:w="0" w:type="auto"/>
            <w:shd w:val="clear" w:color="auto" w:fill="DDDDDD"/>
            <w:tcMar>
              <w:top w:w="60" w:type="dxa"/>
              <w:left w:w="60" w:type="dxa"/>
              <w:bottom w:w="60" w:type="dxa"/>
              <w:right w:w="60" w:type="dxa"/>
            </w:tcMar>
            <w:vAlign w:val="center"/>
            <w:hideMark/>
          </w:tcPr>
          <w:p w:rsidR="00295ABA" w:rsidRPr="00295ABA" w:rsidRDefault="00295ABA" w:rsidP="00295ABA">
            <w:pPr>
              <w:spacing w:after="0" w:line="240" w:lineRule="auto"/>
              <w:rPr>
                <w:rFonts w:ascii="Times New Roman" w:eastAsia="Times New Roman" w:hAnsi="Times New Roman" w:cs="Times New Roman"/>
                <w:sz w:val="17"/>
                <w:szCs w:val="17"/>
              </w:rPr>
            </w:pPr>
            <w:hyperlink r:id="rId10" w:tgtFrame="_blank" w:history="1">
              <w:r w:rsidRPr="00295ABA">
                <w:rPr>
                  <w:rFonts w:ascii="Arial" w:eastAsia="Times New Roman" w:hAnsi="Arial" w:cs="Arial"/>
                  <w:b/>
                  <w:bCs/>
                  <w:color w:val="004080"/>
                  <w:sz w:val="18"/>
                </w:rPr>
                <w:t>2</w:t>
              </w:r>
            </w:hyperlink>
          </w:p>
        </w:tc>
      </w:tr>
    </w:tbl>
    <w:p w:rsidR="00295ABA" w:rsidRPr="00295ABA" w:rsidRDefault="00295ABA" w:rsidP="00295ABA">
      <w:pPr>
        <w:spacing w:after="0" w:line="206" w:lineRule="atLeast"/>
        <w:rPr>
          <w:rFonts w:ascii="Arial" w:eastAsia="Times New Roman" w:hAnsi="Arial" w:cs="Arial"/>
          <w:color w:val="1F1F3F"/>
          <w:sz w:val="17"/>
          <w:szCs w:val="17"/>
          <w:shd w:val="clear" w:color="auto" w:fill="FFFFFF"/>
        </w:rPr>
      </w:pPr>
    </w:p>
    <w:p w:rsidR="00295ABA" w:rsidRPr="00295ABA" w:rsidRDefault="00295ABA" w:rsidP="00295ABA">
      <w:pPr>
        <w:spacing w:before="100" w:beforeAutospacing="1" w:after="100" w:afterAutospacing="1" w:line="206" w:lineRule="atLeast"/>
        <w:rPr>
          <w:rFonts w:ascii="Arial" w:eastAsia="Times New Roman" w:hAnsi="Arial" w:cs="Arial"/>
          <w:color w:val="1F1F3F"/>
          <w:sz w:val="17"/>
          <w:szCs w:val="17"/>
          <w:shd w:val="clear" w:color="auto" w:fill="FFFFFF"/>
        </w:rPr>
      </w:pPr>
      <w:r w:rsidRPr="00295ABA">
        <w:rPr>
          <w:rFonts w:ascii="Arial" w:eastAsia="Times New Roman" w:hAnsi="Arial" w:cs="Arial"/>
          <w:b/>
          <w:bCs/>
          <w:color w:val="1F1F3F"/>
          <w:sz w:val="17"/>
          <w:szCs w:val="17"/>
          <w:shd w:val="clear" w:color="auto" w:fill="FFFFFF"/>
        </w:rPr>
        <w:t>DOI</w:t>
      </w:r>
      <w:r w:rsidRPr="00295ABA">
        <w:rPr>
          <w:rFonts w:ascii="Arial" w:eastAsia="Times New Roman" w:hAnsi="Arial" w:cs="Arial"/>
          <w:color w:val="1F1F3F"/>
          <w:sz w:val="17"/>
          <w:szCs w:val="17"/>
          <w:shd w:val="clear" w:color="auto" w:fill="FFFFFF"/>
        </w:rPr>
        <w:t>: 10.4103/0378-6323.39686</w:t>
      </w:r>
    </w:p>
    <w:p w:rsidR="00295ABA" w:rsidRPr="00295ABA" w:rsidRDefault="00295ABA" w:rsidP="00295ABA">
      <w:pPr>
        <w:spacing w:before="100" w:beforeAutospacing="1" w:after="100" w:afterAutospacing="1" w:line="206" w:lineRule="atLeast"/>
        <w:rPr>
          <w:rFonts w:ascii="Arial" w:eastAsia="Times New Roman" w:hAnsi="Arial" w:cs="Arial"/>
          <w:color w:val="1F1F3F"/>
          <w:sz w:val="17"/>
          <w:szCs w:val="17"/>
          <w:shd w:val="clear" w:color="auto" w:fill="FFFFFF"/>
        </w:rPr>
      </w:pPr>
      <w:r w:rsidRPr="00295ABA">
        <w:rPr>
          <w:rFonts w:ascii="Arial" w:eastAsia="Times New Roman" w:hAnsi="Arial" w:cs="Arial"/>
          <w:b/>
          <w:bCs/>
          <w:color w:val="1F1F3F"/>
          <w:sz w:val="17"/>
          <w:szCs w:val="17"/>
          <w:shd w:val="clear" w:color="auto" w:fill="FFFFFF"/>
        </w:rPr>
        <w:t>PMID:</w:t>
      </w:r>
      <w:r w:rsidRPr="00295ABA">
        <w:rPr>
          <w:rFonts w:ascii="Arial" w:eastAsia="Times New Roman" w:hAnsi="Arial" w:cs="Arial"/>
          <w:color w:val="1F1F3F"/>
          <w:sz w:val="17"/>
          <w:szCs w:val="17"/>
          <w:shd w:val="clear" w:color="auto" w:fill="FFFFFF"/>
        </w:rPr>
        <w:t> 18388361</w:t>
      </w:r>
    </w:p>
    <w:p w:rsidR="00295ABA" w:rsidRPr="00295ABA" w:rsidRDefault="00295ABA" w:rsidP="00295ABA">
      <w:pPr>
        <w:spacing w:before="100" w:beforeAutospacing="1" w:after="100" w:afterAutospacing="1" w:line="206" w:lineRule="atLeast"/>
        <w:rPr>
          <w:rFonts w:ascii="Arial" w:eastAsia="Times New Roman" w:hAnsi="Arial" w:cs="Arial"/>
          <w:color w:val="1F1F3F"/>
          <w:sz w:val="17"/>
          <w:szCs w:val="17"/>
          <w:shd w:val="clear" w:color="auto" w:fill="FFFFFF"/>
        </w:rPr>
      </w:pPr>
      <w:r>
        <w:rPr>
          <w:rFonts w:ascii="Arial" w:eastAsia="Times New Roman" w:hAnsi="Arial" w:cs="Arial"/>
          <w:noProof/>
          <w:color w:val="004080"/>
          <w:sz w:val="18"/>
          <w:szCs w:val="18"/>
          <w:shd w:val="clear" w:color="auto" w:fill="FFFFFF"/>
        </w:rPr>
        <w:drawing>
          <wp:inline distT="0" distB="0" distL="0" distR="0">
            <wp:extent cx="1181100" cy="342900"/>
            <wp:effectExtent l="19050" t="0" r="0" b="0"/>
            <wp:docPr id="4" name="Picture 4" descr="Get Permissions">
              <a:hlinkClick xmlns:a="http://schemas.openxmlformats.org/drawingml/2006/main" r:id="rId1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t Permissions">
                      <a:hlinkClick r:id="rId11" tgtFrame="&quot;_blank&quot;"/>
                    </pic:cNvPr>
                    <pic:cNvPicPr>
                      <a:picLocks noChangeAspect="1" noChangeArrowheads="1"/>
                    </pic:cNvPicPr>
                  </pic:nvPicPr>
                  <pic:blipFill>
                    <a:blip r:embed="rId12"/>
                    <a:srcRect/>
                    <a:stretch>
                      <a:fillRect/>
                    </a:stretch>
                  </pic:blipFill>
                  <pic:spPr bwMode="auto">
                    <a:xfrm>
                      <a:off x="0" y="0"/>
                      <a:ext cx="1181100" cy="342900"/>
                    </a:xfrm>
                    <a:prstGeom prst="rect">
                      <a:avLst/>
                    </a:prstGeom>
                    <a:noFill/>
                    <a:ln w="9525">
                      <a:noFill/>
                      <a:miter lim="800000"/>
                      <a:headEnd/>
                      <a:tailEnd/>
                    </a:ln>
                  </pic:spPr>
                </pic:pic>
              </a:graphicData>
            </a:graphic>
          </wp:inline>
        </w:drawing>
      </w:r>
    </w:p>
    <w:tbl>
      <w:tblPr>
        <w:tblW w:w="5000" w:type="pct"/>
        <w:tblCellSpacing w:w="0" w:type="dxa"/>
        <w:shd w:val="clear" w:color="auto" w:fill="FFFFFF"/>
        <w:tblCellMar>
          <w:left w:w="0" w:type="dxa"/>
          <w:right w:w="0" w:type="dxa"/>
        </w:tblCellMar>
        <w:tblLook w:val="04A0"/>
      </w:tblPr>
      <w:tblGrid>
        <w:gridCol w:w="9360"/>
      </w:tblGrid>
      <w:tr w:rsidR="00295ABA" w:rsidRPr="00295ABA" w:rsidTr="00295ABA">
        <w:trPr>
          <w:tblCellSpacing w:w="0" w:type="dxa"/>
        </w:trPr>
        <w:tc>
          <w:tcPr>
            <w:tcW w:w="5000" w:type="pct"/>
            <w:shd w:val="clear" w:color="auto" w:fill="394780"/>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p>
        </w:tc>
      </w:tr>
    </w:tbl>
    <w:p w:rsidR="00295ABA" w:rsidRPr="00295ABA" w:rsidRDefault="00295ABA" w:rsidP="00295ABA">
      <w:pPr>
        <w:spacing w:after="0" w:line="240" w:lineRule="auto"/>
        <w:rPr>
          <w:rFonts w:ascii="Times New Roman" w:eastAsia="Times New Roman" w:hAnsi="Times New Roman" w:cs="Times New Roman"/>
          <w:sz w:val="24"/>
          <w:szCs w:val="24"/>
        </w:rPr>
      </w:pPr>
      <w:r w:rsidRPr="00295ABA">
        <w:rPr>
          <w:rFonts w:ascii="Verdana" w:eastAsia="Times New Roman" w:hAnsi="Verdana" w:cs="Times New Roman"/>
          <w:color w:val="000000"/>
          <w:sz w:val="18"/>
          <w:szCs w:val="18"/>
        </w:rPr>
        <w:br/>
      </w: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480"/>
      </w:tblGrid>
      <w:tr w:rsidR="00295ABA" w:rsidRPr="00295ABA" w:rsidTr="00295ABA">
        <w:trPr>
          <w:tblCellSpacing w:w="15" w:type="dxa"/>
        </w:trPr>
        <w:tc>
          <w:tcPr>
            <w:tcW w:w="0" w:type="auto"/>
            <w:shd w:val="clear" w:color="auto" w:fill="E1F3EF"/>
            <w:vAlign w:val="center"/>
            <w:hideMark/>
          </w:tcPr>
          <w:p w:rsidR="00295ABA" w:rsidRPr="00295ABA" w:rsidRDefault="00295ABA" w:rsidP="00295ABA">
            <w:pPr>
              <w:spacing w:after="0" w:line="223" w:lineRule="atLeast"/>
              <w:rPr>
                <w:rFonts w:ascii="Arial" w:eastAsia="Times New Roman" w:hAnsi="Arial" w:cs="Arial"/>
                <w:color w:val="1F1F3F"/>
                <w:sz w:val="18"/>
                <w:szCs w:val="18"/>
              </w:rPr>
            </w:pPr>
            <w:r w:rsidRPr="00295ABA">
              <w:rPr>
                <w:rFonts w:ascii="Arial" w:eastAsia="Times New Roman" w:hAnsi="Arial" w:cs="Arial"/>
                <w:b/>
                <w:bCs/>
                <w:color w:val="1F1F3F"/>
                <w:sz w:val="18"/>
                <w:szCs w:val="18"/>
              </w:rPr>
              <w:t>How to cite this article</w:t>
            </w:r>
            <w:proofErr w:type="gramStart"/>
            <w:r w:rsidRPr="00295ABA">
              <w:rPr>
                <w:rFonts w:ascii="Arial" w:eastAsia="Times New Roman" w:hAnsi="Arial" w:cs="Arial"/>
                <w:b/>
                <w:bCs/>
                <w:color w:val="1F1F3F"/>
                <w:sz w:val="18"/>
                <w:szCs w:val="18"/>
              </w:rPr>
              <w:t>:</w:t>
            </w:r>
            <w:proofErr w:type="gramEnd"/>
            <w:r w:rsidRPr="00295ABA">
              <w:rPr>
                <w:rFonts w:ascii="Arial" w:eastAsia="Times New Roman" w:hAnsi="Arial" w:cs="Arial"/>
                <w:color w:val="1F1F3F"/>
                <w:sz w:val="18"/>
                <w:szCs w:val="18"/>
              </w:rPr>
              <w:br/>
              <w:t>Inamadar AC, Palit A. Management of autoimmune urticaria. Indian J Dermatol Venereol Leprol 2008;74:89-91</w:t>
            </w:r>
          </w:p>
        </w:tc>
      </w:tr>
    </w:tbl>
    <w:p w:rsidR="00295ABA" w:rsidRPr="00295ABA" w:rsidRDefault="00295ABA" w:rsidP="00295ABA">
      <w:pPr>
        <w:spacing w:after="0" w:line="240" w:lineRule="auto"/>
        <w:rPr>
          <w:rFonts w:ascii="Times New Roman" w:eastAsia="Times New Roman" w:hAnsi="Times New Roman" w:cs="Times New Roman"/>
          <w:sz w:val="24"/>
          <w:szCs w:val="24"/>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480"/>
      </w:tblGrid>
      <w:tr w:rsidR="00295ABA" w:rsidRPr="00295ABA" w:rsidTr="00295ABA">
        <w:trPr>
          <w:tblCellSpacing w:w="15" w:type="dxa"/>
        </w:trPr>
        <w:tc>
          <w:tcPr>
            <w:tcW w:w="0" w:type="auto"/>
            <w:shd w:val="clear" w:color="auto" w:fill="E1F3EF"/>
            <w:vAlign w:val="center"/>
            <w:hideMark/>
          </w:tcPr>
          <w:p w:rsidR="00295ABA" w:rsidRPr="00295ABA" w:rsidRDefault="00295ABA" w:rsidP="00295ABA">
            <w:pPr>
              <w:spacing w:after="0" w:line="223" w:lineRule="atLeast"/>
              <w:rPr>
                <w:rFonts w:ascii="Arial" w:eastAsia="Times New Roman" w:hAnsi="Arial" w:cs="Arial"/>
                <w:color w:val="1F1F3F"/>
                <w:sz w:val="18"/>
                <w:szCs w:val="18"/>
              </w:rPr>
            </w:pPr>
            <w:r w:rsidRPr="00295ABA">
              <w:rPr>
                <w:rFonts w:ascii="Arial" w:eastAsia="Times New Roman" w:hAnsi="Arial" w:cs="Arial"/>
                <w:b/>
                <w:bCs/>
                <w:color w:val="1F1F3F"/>
                <w:sz w:val="18"/>
                <w:szCs w:val="18"/>
              </w:rPr>
              <w:t>How to cite this URL</w:t>
            </w:r>
            <w:proofErr w:type="gramStart"/>
            <w:r w:rsidRPr="00295ABA">
              <w:rPr>
                <w:rFonts w:ascii="Arial" w:eastAsia="Times New Roman" w:hAnsi="Arial" w:cs="Arial"/>
                <w:b/>
                <w:bCs/>
                <w:color w:val="1F1F3F"/>
                <w:sz w:val="18"/>
                <w:szCs w:val="18"/>
              </w:rPr>
              <w:t>:</w:t>
            </w:r>
            <w:proofErr w:type="gramEnd"/>
            <w:r w:rsidRPr="00295ABA">
              <w:rPr>
                <w:rFonts w:ascii="Arial" w:eastAsia="Times New Roman" w:hAnsi="Arial" w:cs="Arial"/>
                <w:color w:val="1F1F3F"/>
                <w:sz w:val="18"/>
                <w:szCs w:val="18"/>
              </w:rPr>
              <w:br/>
              <w:t>Inamadar AC, Palit A. Management of autoimmune urticaria. Indian J Dermatol Venereol Leprol [serial online] 2008 [cited 2014 Jun 5]</w:t>
            </w:r>
            <w:proofErr w:type="gramStart"/>
            <w:r w:rsidRPr="00295ABA">
              <w:rPr>
                <w:rFonts w:ascii="Arial" w:eastAsia="Times New Roman" w:hAnsi="Arial" w:cs="Arial"/>
                <w:color w:val="1F1F3F"/>
                <w:sz w:val="18"/>
                <w:szCs w:val="18"/>
              </w:rPr>
              <w:t>;74:89</w:t>
            </w:r>
            <w:proofErr w:type="gramEnd"/>
            <w:r w:rsidRPr="00295ABA">
              <w:rPr>
                <w:rFonts w:ascii="Arial" w:eastAsia="Times New Roman" w:hAnsi="Arial" w:cs="Arial"/>
                <w:color w:val="1F1F3F"/>
                <w:sz w:val="18"/>
                <w:szCs w:val="18"/>
              </w:rPr>
              <w:t>-91. Available from: </w:t>
            </w:r>
            <w:hyperlink r:id="rId13" w:history="1">
              <w:r w:rsidRPr="00295ABA">
                <w:rPr>
                  <w:rFonts w:ascii="Arial" w:eastAsia="Times New Roman" w:hAnsi="Arial" w:cs="Arial"/>
                  <w:color w:val="004080"/>
                  <w:sz w:val="18"/>
                </w:rPr>
                <w:t>http://www.ijdvl.com/text.asp?2008/74/2/89/39686</w:t>
              </w:r>
            </w:hyperlink>
          </w:p>
        </w:tc>
      </w:tr>
    </w:tbl>
    <w:p w:rsidR="00295ABA" w:rsidRPr="00295ABA" w:rsidRDefault="00295ABA" w:rsidP="00295ABA">
      <w:pPr>
        <w:spacing w:after="0" w:line="240" w:lineRule="auto"/>
        <w:rPr>
          <w:rFonts w:ascii="Times New Roman" w:eastAsia="Times New Roman" w:hAnsi="Times New Roman" w:cs="Times New Roman"/>
          <w:sz w:val="24"/>
          <w:szCs w:val="24"/>
        </w:rPr>
      </w:pP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Chronic idiopathic urticaria (CIU) is one of the most vexing management problems that dermatologists face. However, recognition of autoimmune urticaria (AIU) as a distinct subgroup of CIU during the last decade has facilitated better understanding of unremitting CIU.</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About 40-50% of the patients with CIU demonstrate an immediate wheal and flare response to intra-dermally injected autologous serum.</w:t>
      </w:r>
      <w:r w:rsidRPr="00295ABA">
        <w:rPr>
          <w:rFonts w:ascii="Verdana" w:eastAsia="Times New Roman" w:hAnsi="Verdana" w:cs="Times New Roman"/>
          <w:color w:val="000000"/>
          <w:sz w:val="24"/>
          <w:szCs w:val="24"/>
          <w:vertAlign w:val="superscript"/>
        </w:rPr>
        <w:t> </w:t>
      </w:r>
      <w:bookmarkStart w:id="0" w:name="ft1"/>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w:t>
      </w:r>
      <w:r w:rsidRPr="00295ABA">
        <w:rPr>
          <w:rFonts w:ascii="Verdana" w:eastAsia="Times New Roman" w:hAnsi="Verdana" w:cs="Times New Roman"/>
          <w:color w:val="000000"/>
          <w:sz w:val="24"/>
          <w:szCs w:val="24"/>
          <w:shd w:val="clear" w:color="auto" w:fill="FFFFFF"/>
          <w:vertAlign w:val="superscript"/>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This led to the concept of AIU, which is now a widely accepted entity. These patients demonstrate circulating histamine-releasing IgG autoantibodies against the high affinity IgE receptor F</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c</w:t>
      </w:r>
      <w:r w:rsidRPr="00295ABA">
        <w:rPr>
          <w:rFonts w:ascii="Verdana" w:eastAsia="Times New Roman" w:hAnsi="Verdana" w:cs="Times New Roman"/>
          <w:color w:val="000000"/>
          <w:sz w:val="18"/>
          <w:szCs w:val="18"/>
          <w:shd w:val="clear" w:color="auto" w:fill="FFFFFF"/>
        </w:rPr>
        <w:t>εR</w:t>
      </w:r>
      <w:r w:rsidRPr="00295ABA">
        <w:rPr>
          <w:rFonts w:ascii="Verdana" w:eastAsia="Times New Roman" w:hAnsi="Verdana" w:cs="Times New Roman"/>
          <w:color w:val="000000"/>
          <w:sz w:val="24"/>
          <w:szCs w:val="24"/>
          <w:vertAlign w:val="subscript"/>
        </w:rPr>
        <w:t> </w:t>
      </w:r>
      <w:proofErr w:type="gramStart"/>
      <w:r w:rsidRPr="00295ABA">
        <w:rPr>
          <w:rFonts w:ascii="Verdana" w:eastAsia="Times New Roman" w:hAnsi="Verdana" w:cs="Times New Roman"/>
          <w:color w:val="000000"/>
          <w:sz w:val="24"/>
          <w:szCs w:val="24"/>
          <w:shd w:val="clear" w:color="auto" w:fill="FFFFFF"/>
          <w:vertAlign w:val="subscript"/>
        </w:rPr>
        <w:t>I</w:t>
      </w:r>
      <w:r w:rsidRPr="00295ABA">
        <w:rPr>
          <w:rFonts w:ascii="Verdana" w:eastAsia="Times New Roman" w:hAnsi="Verdana" w:cs="Times New Roman"/>
          <w:color w:val="000000"/>
          <w:sz w:val="18"/>
          <w:szCs w:val="18"/>
          <w:shd w:val="clear" w:color="auto" w:fill="FFFFFF"/>
        </w:rPr>
        <w:t>α</w:t>
      </w:r>
      <w:proofErr w:type="gramEnd"/>
      <w:r w:rsidRPr="00295ABA">
        <w:rPr>
          <w:rFonts w:ascii="Verdana" w:eastAsia="Times New Roman" w:hAnsi="Verdana" w:cs="Times New Roman"/>
          <w:color w:val="000000"/>
          <w:sz w:val="18"/>
          <w:szCs w:val="18"/>
          <w:shd w:val="clear" w:color="auto" w:fill="FFFFFF"/>
        </w:rPr>
        <w:t xml:space="preserve"> (35-40%) on dermal mast cells and basophils or less commonly to IgE itself (5-10%).</w:t>
      </w:r>
      <w:r w:rsidRPr="00295ABA">
        <w:rPr>
          <w:rFonts w:ascii="Verdana" w:eastAsia="Times New Roman" w:hAnsi="Verdana" w:cs="Times New Roman"/>
          <w:color w:val="000000"/>
          <w:sz w:val="24"/>
          <w:szCs w:val="24"/>
          <w:vertAlign w:val="superscript"/>
        </w:rPr>
        <w:t> </w:t>
      </w:r>
      <w:bookmarkStart w:id="1" w:name="ft2"/>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"ref2"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[2]</w:t>
      </w:r>
      <w:r w:rsidRPr="00295ABA">
        <w:rPr>
          <w:rFonts w:ascii="Verdana" w:eastAsia="Times New Roman" w:hAnsi="Verdana" w:cs="Times New Roman"/>
          <w:color w:val="000000"/>
          <w:sz w:val="24"/>
          <w:szCs w:val="24"/>
          <w:shd w:val="clear" w:color="auto" w:fill="FFFFFF"/>
          <w:vertAlign w:val="superscript"/>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Basophil and mast cell degranulation leads to the release of histamine, which is demonstrable by the autologous serum skin test (ASST). These autoantibodies may also be present in healthy individuals (natural autoantibodies) but are capable of triggering histamine release only if the receptors are IgE-free.</w:t>
      </w:r>
      <w:r w:rsidRPr="00295ABA">
        <w:rPr>
          <w:rFonts w:ascii="Verdana" w:eastAsia="Times New Roman" w:hAnsi="Verdana" w:cs="Times New Roman"/>
          <w:color w:val="000000"/>
          <w:sz w:val="24"/>
          <w:szCs w:val="24"/>
          <w:vertAlign w:val="superscript"/>
        </w:rPr>
        <w:t> </w:t>
      </w:r>
      <w:bookmarkStart w:id="2" w:name="ft3"/>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"ref3"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[3]</w:t>
      </w:r>
      <w:r w:rsidRPr="00295ABA">
        <w:rPr>
          <w:rFonts w:ascii="Verdana" w:eastAsia="Times New Roman" w:hAnsi="Verdana" w:cs="Times New Roman"/>
          <w:color w:val="000000"/>
          <w:sz w:val="24"/>
          <w:szCs w:val="24"/>
          <w:shd w:val="clear" w:color="auto" w:fill="FFFFFF"/>
          <w:vertAlign w:val="superscript"/>
        </w:rPr>
        <w:fldChar w:fldCharType="end"/>
      </w:r>
      <w:bookmarkEnd w:id="2"/>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lastRenderedPageBreak/>
        <w:br/>
      </w:r>
      <w:r w:rsidRPr="00295ABA">
        <w:rPr>
          <w:rFonts w:ascii="Verdana" w:eastAsia="Times New Roman" w:hAnsi="Verdana" w:cs="Times New Roman"/>
          <w:color w:val="000000"/>
          <w:sz w:val="18"/>
          <w:szCs w:val="18"/>
          <w:shd w:val="clear" w:color="auto" w:fill="FFFFFF"/>
        </w:rPr>
        <w:t>Positive results in ASST give an approximate idea of basophil and mast cell histamine-releasing propensity of a patient with CIU. In an earlier Indian study, ASST positivity was found to be 26.67% in chronic urticaria.</w:t>
      </w:r>
      <w:r w:rsidRPr="00295ABA">
        <w:rPr>
          <w:rFonts w:ascii="Verdana" w:eastAsia="Times New Roman" w:hAnsi="Verdana" w:cs="Times New Roman"/>
          <w:color w:val="000000"/>
          <w:sz w:val="24"/>
          <w:szCs w:val="24"/>
          <w:vertAlign w:val="superscript"/>
        </w:rPr>
        <w:t> </w:t>
      </w:r>
      <w:bookmarkStart w:id="3" w:name="ft4"/>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"ref4"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[4]</w:t>
      </w:r>
      <w:r w:rsidRPr="00295ABA">
        <w:rPr>
          <w:rFonts w:ascii="Verdana" w:eastAsia="Times New Roman" w:hAnsi="Verdana" w:cs="Times New Roman"/>
          <w:color w:val="000000"/>
          <w:sz w:val="24"/>
          <w:szCs w:val="24"/>
          <w:shd w:val="clear" w:color="auto" w:fill="FFFFFF"/>
          <w:vertAlign w:val="superscript"/>
        </w:rPr>
        <w:fldChar w:fldCharType="end"/>
      </w:r>
      <w:bookmarkEnd w:id="3"/>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This issue carries two larger studies by Mamatha</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shd w:val="clear" w:color="auto" w:fill="FFFFFF"/>
        </w:rPr>
        <w:t>et al.</w:t>
      </w:r>
      <w:r w:rsidRPr="00295ABA">
        <w:rPr>
          <w:rFonts w:ascii="Verdana" w:eastAsia="Times New Roman" w:hAnsi="Verdana" w:cs="Times New Roman"/>
          <w:color w:val="000000"/>
          <w:sz w:val="18"/>
        </w:rPr>
        <w:t> </w:t>
      </w:r>
      <w:bookmarkStart w:id="4" w:name="ft5"/>
      <w:r w:rsidRPr="00295ABA">
        <w:rPr>
          <w:rFonts w:ascii="Times New Roman" w:eastAsia="Times New Roman" w:hAnsi="Times New Roman" w:cs="Times New Roman"/>
          <w:sz w:val="24"/>
          <w:szCs w:val="24"/>
        </w:rPr>
        <w:fldChar w:fldCharType="begin"/>
      </w:r>
      <w:r w:rsidRPr="00295ABA">
        <w:rPr>
          <w:rFonts w:ascii="Times New Roman" w:eastAsia="Times New Roman" w:hAnsi="Times New Roman" w:cs="Times New Roman"/>
          <w:sz w:val="24"/>
          <w:szCs w:val="24"/>
        </w:rPr>
        <w:instrText xml:space="preserve"> HYPERLINK "http://www.ijdvl.com/article.asp?issn=0378-6323;year=2008;volume=74;issue=2;spage=89;epage=91;aulast=Inamadar" \l "ref5" </w:instrText>
      </w:r>
      <w:r w:rsidRPr="00295ABA">
        <w:rPr>
          <w:rFonts w:ascii="Times New Roman" w:eastAsia="Times New Roman" w:hAnsi="Times New Roman" w:cs="Times New Roman"/>
          <w:sz w:val="24"/>
          <w:szCs w:val="24"/>
        </w:rPr>
        <w:fldChar w:fldCharType="separate"/>
      </w:r>
      <w:r w:rsidRPr="00295ABA">
        <w:rPr>
          <w:rFonts w:ascii="Arial" w:eastAsia="Times New Roman" w:hAnsi="Arial" w:cs="Arial"/>
          <w:color w:val="CC6601"/>
          <w:sz w:val="17"/>
        </w:rPr>
        <w:t>[5]</w:t>
      </w:r>
      <w:r w:rsidRPr="00295ABA">
        <w:rPr>
          <w:rFonts w:ascii="Times New Roman" w:eastAsia="Times New Roman" w:hAnsi="Times New Roman" w:cs="Times New Roman"/>
          <w:sz w:val="24"/>
          <w:szCs w:val="24"/>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and Bajaj</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shd w:val="clear" w:color="auto" w:fill="FFFFFF"/>
        </w:rPr>
        <w:t>et al.</w:t>
      </w:r>
      <w:r w:rsidRPr="00295ABA">
        <w:rPr>
          <w:rFonts w:ascii="Verdana" w:eastAsia="Times New Roman" w:hAnsi="Verdana" w:cs="Times New Roman"/>
          <w:color w:val="000000"/>
          <w:sz w:val="18"/>
        </w:rPr>
        <w:t> </w:t>
      </w:r>
      <w:bookmarkStart w:id="5" w:name="ft6"/>
      <w:r w:rsidRPr="00295ABA">
        <w:rPr>
          <w:rFonts w:ascii="Times New Roman" w:eastAsia="Times New Roman" w:hAnsi="Times New Roman" w:cs="Times New Roman"/>
          <w:sz w:val="24"/>
          <w:szCs w:val="24"/>
        </w:rPr>
        <w:fldChar w:fldCharType="begin"/>
      </w:r>
      <w:r w:rsidRPr="00295ABA">
        <w:rPr>
          <w:rFonts w:ascii="Times New Roman" w:eastAsia="Times New Roman" w:hAnsi="Times New Roman" w:cs="Times New Roman"/>
          <w:sz w:val="24"/>
          <w:szCs w:val="24"/>
        </w:rPr>
        <w:instrText xml:space="preserve"> HYPERLINK "http://www.ijdvl.com/article.asp?issn=0378-6323;year=2008;volume=74;issue=2;spage=89;epage=91;aulast=Inamadar" \l "ref6" </w:instrText>
      </w:r>
      <w:r w:rsidRPr="00295ABA">
        <w:rPr>
          <w:rFonts w:ascii="Times New Roman" w:eastAsia="Times New Roman" w:hAnsi="Times New Roman" w:cs="Times New Roman"/>
          <w:sz w:val="24"/>
          <w:szCs w:val="24"/>
        </w:rPr>
        <w:fldChar w:fldCharType="separate"/>
      </w:r>
      <w:r w:rsidRPr="00295ABA">
        <w:rPr>
          <w:rFonts w:ascii="Arial" w:eastAsia="Times New Roman" w:hAnsi="Arial" w:cs="Arial"/>
          <w:color w:val="CC6601"/>
          <w:sz w:val="17"/>
        </w:rPr>
        <w:t>[6]</w:t>
      </w:r>
      <w:r w:rsidRPr="00295ABA">
        <w:rPr>
          <w:rFonts w:ascii="Times New Roman" w:eastAsia="Times New Roman" w:hAnsi="Times New Roman" w:cs="Times New Roman"/>
          <w:sz w:val="24"/>
          <w:szCs w:val="24"/>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with 34 and 49.5% ASST positivity respectively among their patients with chronic urticaria.</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Clinically, these patients present with typical urticaria and angioedema, not differing much from usual chronic idiopathic urticaria (CIU) except in terms of severity.</w:t>
      </w:r>
      <w:r w:rsidRPr="00295ABA">
        <w:rPr>
          <w:rFonts w:ascii="Verdana" w:eastAsia="Times New Roman" w:hAnsi="Verdana" w:cs="Times New Roman"/>
          <w:color w:val="000000"/>
          <w:sz w:val="24"/>
          <w:szCs w:val="24"/>
          <w:vertAlign w:val="superscript"/>
        </w:rPr>
        <w:t> </w:t>
      </w:r>
      <w:hyperlink r:id="rId14" w:anchor="ref1" w:history="1">
        <w:r w:rsidRPr="00295ABA">
          <w:rPr>
            <w:rFonts w:ascii="Arial" w:eastAsia="Times New Roman" w:hAnsi="Arial" w:cs="Arial"/>
            <w:color w:val="CC6601"/>
            <w:sz w:val="17"/>
            <w:vertAlign w:val="superscript"/>
          </w:rPr>
          <w:t>[1]</w:t>
        </w:r>
      </w:hyperlink>
      <w:r w:rsidRPr="00295ABA">
        <w:rPr>
          <w:rFonts w:ascii="Verdana" w:eastAsia="Times New Roman" w:hAnsi="Verdana" w:cs="Times New Roman"/>
          <w:color w:val="000000"/>
          <w:sz w:val="24"/>
          <w:szCs w:val="24"/>
          <w:shd w:val="clear" w:color="auto" w:fill="FFFFFF"/>
          <w:vertAlign w:val="superscript"/>
        </w:rPr>
        <w:t>,</w:t>
      </w:r>
      <w:bookmarkStart w:id="6" w:name="ft7"/>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"ref7"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[7]</w:t>
      </w:r>
      <w:r w:rsidRPr="00295ABA">
        <w:rPr>
          <w:rFonts w:ascii="Verdana" w:eastAsia="Times New Roman" w:hAnsi="Verdana" w:cs="Times New Roman"/>
          <w:color w:val="000000"/>
          <w:sz w:val="24"/>
          <w:szCs w:val="24"/>
          <w:shd w:val="clear" w:color="auto" w:fill="FFFFFF"/>
          <w:vertAlign w:val="superscript"/>
        </w:rPr>
        <w:fldChar w:fldCharType="end"/>
      </w:r>
      <w:bookmarkEnd w:id="6"/>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In the Indian study by Mamatha</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shd w:val="clear" w:color="auto" w:fill="FFFFFF"/>
        </w:rPr>
        <w:t>et al.</w:t>
      </w:r>
      <w:r w:rsidRPr="00295ABA">
        <w:rPr>
          <w:rFonts w:ascii="Verdana" w:eastAsia="Times New Roman" w:hAnsi="Verdana" w:cs="Times New Roman"/>
          <w:color w:val="000000"/>
          <w:sz w:val="18"/>
        </w:rPr>
        <w:t> </w:t>
      </w:r>
      <w:hyperlink r:id="rId15" w:anchor="ref5" w:history="1">
        <w:r w:rsidRPr="00295ABA">
          <w:rPr>
            <w:rFonts w:ascii="Arial" w:eastAsia="Times New Roman" w:hAnsi="Arial" w:cs="Arial"/>
            <w:color w:val="CC6601"/>
            <w:sz w:val="17"/>
          </w:rPr>
          <w:t>[5]</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the frequency and severity of the episodes of urticaria, duration of individual lesions and systemic symptoms were more in patients giving positive ASST results. However, there was no significant difference among ASST-positive and ASST-negative groups of patients regarding demographic profiles, distribution of skin lesions and presence of angioedema; occurrence of dermographism was higher among ASST-negative patients.</w:t>
      </w:r>
      <w:r w:rsidRPr="00295ABA">
        <w:rPr>
          <w:rFonts w:ascii="Verdana" w:eastAsia="Times New Roman" w:hAnsi="Verdana" w:cs="Times New Roman"/>
          <w:color w:val="000000"/>
          <w:sz w:val="24"/>
          <w:szCs w:val="24"/>
          <w:vertAlign w:val="superscript"/>
        </w:rPr>
        <w:t> </w:t>
      </w:r>
      <w:hyperlink r:id="rId16" w:anchor="ref5" w:history="1">
        <w:r w:rsidRPr="00295ABA">
          <w:rPr>
            <w:rFonts w:ascii="Arial" w:eastAsia="Times New Roman" w:hAnsi="Arial" w:cs="Arial"/>
            <w:color w:val="CC6601"/>
            <w:sz w:val="17"/>
            <w:vertAlign w:val="superscript"/>
          </w:rPr>
          <w:t>[5]</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A pointer to the clinical possibility of AIU is the refractoriness of the urticaria to optimum, off-label dosage of conventional antihistamine therapy administered for sufficient duration.</w:t>
      </w:r>
      <w:r w:rsidRPr="00295ABA">
        <w:rPr>
          <w:rFonts w:ascii="Verdana" w:eastAsia="Times New Roman" w:hAnsi="Verdana" w:cs="Times New Roman"/>
          <w:color w:val="000000"/>
          <w:sz w:val="24"/>
          <w:szCs w:val="24"/>
          <w:vertAlign w:val="superscript"/>
        </w:rPr>
        <w:t> </w:t>
      </w:r>
      <w:hyperlink r:id="rId17" w:anchor="ref1" w:history="1">
        <w:r w:rsidRPr="00295ABA">
          <w:rPr>
            <w:rFonts w:ascii="Arial" w:eastAsia="Times New Roman" w:hAnsi="Arial" w:cs="Arial"/>
            <w:color w:val="CC6601"/>
            <w:sz w:val="17"/>
            <w:vertAlign w:val="superscript"/>
          </w:rPr>
          <w:t>[1]</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These patients may have clinical hypo- or hyperthyroidism and anti-thyroid antibodies are present in 27% of the cases.</w:t>
      </w:r>
      <w:r w:rsidRPr="00295ABA">
        <w:rPr>
          <w:rFonts w:ascii="Verdana" w:eastAsia="Times New Roman" w:hAnsi="Verdana" w:cs="Times New Roman"/>
          <w:color w:val="000000"/>
          <w:sz w:val="24"/>
          <w:szCs w:val="24"/>
          <w:vertAlign w:val="superscript"/>
        </w:rPr>
        <w:t> </w:t>
      </w:r>
      <w:bookmarkStart w:id="7" w:name="ft8"/>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"ref8"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[8]</w:t>
      </w:r>
      <w:r w:rsidRPr="00295ABA">
        <w:rPr>
          <w:rFonts w:ascii="Verdana" w:eastAsia="Times New Roman" w:hAnsi="Verdana" w:cs="Times New Roman"/>
          <w:color w:val="000000"/>
          <w:sz w:val="24"/>
          <w:szCs w:val="24"/>
          <w:shd w:val="clear" w:color="auto" w:fill="FFFFFF"/>
          <w:vertAlign w:val="superscript"/>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Bakos</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shd w:val="clear" w:color="auto" w:fill="FFFFFF"/>
        </w:rPr>
        <w:t>et al.</w:t>
      </w:r>
      <w:r w:rsidRPr="00295ABA">
        <w:rPr>
          <w:rFonts w:ascii="Verdana" w:eastAsia="Times New Roman" w:hAnsi="Verdana" w:cs="Times New Roman"/>
          <w:color w:val="000000"/>
          <w:sz w:val="18"/>
        </w:rPr>
        <w:t> </w:t>
      </w:r>
      <w:bookmarkStart w:id="8" w:name="ft9"/>
      <w:r w:rsidRPr="00295ABA">
        <w:rPr>
          <w:rFonts w:ascii="Times New Roman" w:eastAsia="Times New Roman" w:hAnsi="Times New Roman" w:cs="Times New Roman"/>
          <w:sz w:val="24"/>
          <w:szCs w:val="24"/>
        </w:rPr>
        <w:fldChar w:fldCharType="begin"/>
      </w:r>
      <w:r w:rsidRPr="00295ABA">
        <w:rPr>
          <w:rFonts w:ascii="Times New Roman" w:eastAsia="Times New Roman" w:hAnsi="Times New Roman" w:cs="Times New Roman"/>
          <w:sz w:val="24"/>
          <w:szCs w:val="24"/>
        </w:rPr>
        <w:instrText xml:space="preserve"> HYPERLINK "http://www.ijdvl.com/article.asp?issn=0378-6323;year=2008;volume=74;issue=2;spage=89;epage=91;aulast=Inamadar" \l "ref9" </w:instrText>
      </w:r>
      <w:r w:rsidRPr="00295ABA">
        <w:rPr>
          <w:rFonts w:ascii="Times New Roman" w:eastAsia="Times New Roman" w:hAnsi="Times New Roman" w:cs="Times New Roman"/>
          <w:sz w:val="24"/>
          <w:szCs w:val="24"/>
        </w:rPr>
        <w:fldChar w:fldCharType="separate"/>
      </w:r>
      <w:r w:rsidRPr="00295ABA">
        <w:rPr>
          <w:rFonts w:ascii="Arial" w:eastAsia="Times New Roman" w:hAnsi="Arial" w:cs="Arial"/>
          <w:color w:val="CC6601"/>
          <w:sz w:val="17"/>
        </w:rPr>
        <w:t>[9]</w:t>
      </w:r>
      <w:r w:rsidRPr="00295ABA">
        <w:rPr>
          <w:rFonts w:ascii="Times New Roman" w:eastAsia="Times New Roman" w:hAnsi="Times New Roman" w:cs="Times New Roman"/>
          <w:sz w:val="24"/>
          <w:szCs w:val="24"/>
        </w:rPr>
        <w:fldChar w:fldCharType="end"/>
      </w:r>
      <w:bookmarkEnd w:id="8"/>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have discussed the possibility of</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shd w:val="clear" w:color="auto" w:fill="FFFFFF"/>
        </w:rPr>
        <w:t>H. pylori</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acting as a trigger factor in some patients with AIU and the co-existence of autoimmune thyroiditis may be determined by the presence of Cag A+ strains of</w:t>
      </w:r>
      <w:r w:rsidRPr="00295ABA">
        <w:rPr>
          <w:rFonts w:ascii="Verdana" w:eastAsia="Times New Roman" w:hAnsi="Verdana" w:cs="Times New Roman"/>
          <w:i/>
          <w:iCs/>
          <w:color w:val="000000"/>
          <w:sz w:val="18"/>
        </w:rPr>
        <w:t> </w:t>
      </w:r>
      <w:r w:rsidRPr="00295ABA">
        <w:rPr>
          <w:rFonts w:ascii="Verdana" w:eastAsia="Times New Roman" w:hAnsi="Verdana" w:cs="Times New Roman"/>
          <w:i/>
          <w:iCs/>
          <w:color w:val="000000"/>
          <w:sz w:val="18"/>
          <w:szCs w:val="18"/>
          <w:shd w:val="clear" w:color="auto" w:fill="FFFFFF"/>
        </w:rPr>
        <w:t xml:space="preserve">H. </w:t>
      </w:r>
      <w:proofErr w:type="gramStart"/>
      <w:r w:rsidRPr="00295ABA">
        <w:rPr>
          <w:rFonts w:ascii="Verdana" w:eastAsia="Times New Roman" w:hAnsi="Verdana" w:cs="Times New Roman"/>
          <w:i/>
          <w:iCs/>
          <w:color w:val="000000"/>
          <w:sz w:val="18"/>
          <w:szCs w:val="18"/>
          <w:shd w:val="clear" w:color="auto" w:fill="FFFFFF"/>
        </w:rPr>
        <w:t>pylori</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w:t>
      </w:r>
      <w:proofErr w:type="gramEnd"/>
      <w:r w:rsidRPr="00295ABA">
        <w:rPr>
          <w:rFonts w:ascii="Verdana" w:eastAsia="Times New Roman" w:hAnsi="Verdana" w:cs="Times New Roman"/>
          <w:color w:val="000000"/>
          <w:sz w:val="18"/>
          <w:szCs w:val="18"/>
          <w:shd w:val="clear" w:color="auto" w:fill="FFFFFF"/>
        </w:rPr>
        <w:t xml:space="preserve"> Personal or family history of other autoimmune diseases such as pernicious anemia, rheumatoid arthritis, vitiligo and insulin-dependent diabetes mellitus may be present.</w:t>
      </w:r>
      <w:r w:rsidRPr="00295ABA">
        <w:rPr>
          <w:rFonts w:ascii="Verdana" w:eastAsia="Times New Roman" w:hAnsi="Verdana" w:cs="Times New Roman"/>
          <w:color w:val="000000"/>
          <w:sz w:val="24"/>
          <w:szCs w:val="24"/>
          <w:vertAlign w:val="superscript"/>
        </w:rPr>
        <w:t> </w:t>
      </w:r>
      <w:bookmarkStart w:id="9" w:name="ft10"/>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"ref10"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[10]</w:t>
      </w:r>
      <w:r w:rsidRPr="00295ABA">
        <w:rPr>
          <w:rFonts w:ascii="Verdana" w:eastAsia="Times New Roman" w:hAnsi="Verdana" w:cs="Times New Roman"/>
          <w:color w:val="000000"/>
          <w:sz w:val="24"/>
          <w:szCs w:val="24"/>
          <w:shd w:val="clear" w:color="auto" w:fill="FFFFFF"/>
          <w:vertAlign w:val="superscript"/>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The circulating IgG isotypes responsible in the pathogenesis of AIU are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3</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18"/>
          <w:szCs w:val="18"/>
          <w:shd w:val="clear" w:color="auto" w:fill="FFFFFF"/>
        </w:rPr>
        <w:t>(primary),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1</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(frequent) and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4</w:t>
      </w:r>
      <w:r w:rsidRPr="00295ABA">
        <w:rPr>
          <w:rFonts w:ascii="Verdana" w:eastAsia="Times New Roman" w:hAnsi="Verdana" w:cs="Times New Roman"/>
          <w:color w:val="000000"/>
          <w:sz w:val="18"/>
          <w:szCs w:val="18"/>
          <w:shd w:val="clear" w:color="auto" w:fill="FFFFFF"/>
        </w:rPr>
        <w:t>(occasional).</w:t>
      </w:r>
      <w:r w:rsidRPr="00295ABA">
        <w:rPr>
          <w:rFonts w:ascii="Verdana" w:eastAsia="Times New Roman" w:hAnsi="Verdana" w:cs="Times New Roman"/>
          <w:color w:val="000000"/>
          <w:sz w:val="24"/>
          <w:szCs w:val="24"/>
          <w:vertAlign w:val="superscript"/>
        </w:rPr>
        <w:t> </w:t>
      </w:r>
      <w:hyperlink r:id="rId18" w:anchor="ref2" w:history="1">
        <w:r w:rsidRPr="00295ABA">
          <w:rPr>
            <w:rFonts w:ascii="Arial" w:eastAsia="Times New Roman" w:hAnsi="Arial" w:cs="Arial"/>
            <w:color w:val="CC6601"/>
            <w:sz w:val="17"/>
            <w:vertAlign w:val="superscript"/>
          </w:rPr>
          <w:t>[2]</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The binding of the autoantibodies to F</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c</w:t>
      </w:r>
      <w:r w:rsidRPr="00295ABA">
        <w:rPr>
          <w:rFonts w:ascii="Verdana" w:eastAsia="Times New Roman" w:hAnsi="Verdana" w:cs="Times New Roman"/>
          <w:color w:val="000000"/>
          <w:sz w:val="18"/>
          <w:szCs w:val="18"/>
          <w:shd w:val="clear" w:color="auto" w:fill="FFFFFF"/>
        </w:rPr>
        <w:t>εR</w:t>
      </w:r>
      <w:r w:rsidRPr="00295ABA">
        <w:rPr>
          <w:rFonts w:ascii="Verdana" w:eastAsia="Times New Roman" w:hAnsi="Verdana" w:cs="Times New Roman"/>
          <w:color w:val="000000"/>
          <w:sz w:val="24"/>
          <w:szCs w:val="24"/>
          <w:vertAlign w:val="subscript"/>
        </w:rPr>
        <w:t> </w:t>
      </w:r>
      <w:proofErr w:type="gramStart"/>
      <w:r w:rsidRPr="00295ABA">
        <w:rPr>
          <w:rFonts w:ascii="Verdana" w:eastAsia="Times New Roman" w:hAnsi="Verdana" w:cs="Times New Roman"/>
          <w:color w:val="000000"/>
          <w:sz w:val="24"/>
          <w:szCs w:val="24"/>
          <w:shd w:val="clear" w:color="auto" w:fill="FFFFFF"/>
          <w:vertAlign w:val="subscript"/>
        </w:rPr>
        <w:t>I</w:t>
      </w:r>
      <w:r w:rsidRPr="00295ABA">
        <w:rPr>
          <w:rFonts w:ascii="Verdana" w:eastAsia="Times New Roman" w:hAnsi="Verdana" w:cs="Times New Roman"/>
          <w:color w:val="000000"/>
          <w:sz w:val="18"/>
          <w:szCs w:val="18"/>
          <w:shd w:val="clear" w:color="auto" w:fill="FFFFFF"/>
        </w:rPr>
        <w:t>α</w:t>
      </w:r>
      <w:proofErr w:type="gramEnd"/>
      <w:r w:rsidRPr="00295ABA">
        <w:rPr>
          <w:rFonts w:ascii="Verdana" w:eastAsia="Times New Roman" w:hAnsi="Verdana" w:cs="Times New Roman"/>
          <w:color w:val="000000"/>
          <w:sz w:val="18"/>
          <w:szCs w:val="18"/>
          <w:shd w:val="clear" w:color="auto" w:fill="FFFFFF"/>
        </w:rPr>
        <w:t xml:space="preserve"> may be competitive or noncompetitive.</w:t>
      </w:r>
      <w:r w:rsidRPr="00295ABA">
        <w:rPr>
          <w:rFonts w:ascii="Verdana" w:eastAsia="Times New Roman" w:hAnsi="Verdana" w:cs="Times New Roman"/>
          <w:color w:val="000000"/>
          <w:sz w:val="24"/>
          <w:szCs w:val="24"/>
          <w:vertAlign w:val="superscript"/>
        </w:rPr>
        <w:t> </w:t>
      </w:r>
      <w:hyperlink r:id="rId19" w:anchor="ref8" w:history="1">
        <w:r w:rsidRPr="00295ABA">
          <w:rPr>
            <w:rFonts w:ascii="Arial" w:eastAsia="Times New Roman" w:hAnsi="Arial" w:cs="Arial"/>
            <w:color w:val="CC6601"/>
            <w:sz w:val="17"/>
            <w:vertAlign w:val="superscript"/>
          </w:rPr>
          <w:t>[8]</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This binding leads to the activation of the classical complement pathway releasing C5a.</w:t>
      </w:r>
      <w:r w:rsidRPr="00295ABA">
        <w:rPr>
          <w:rFonts w:ascii="Verdana" w:eastAsia="Times New Roman" w:hAnsi="Verdana" w:cs="Times New Roman"/>
          <w:color w:val="000000"/>
          <w:sz w:val="24"/>
          <w:szCs w:val="24"/>
          <w:vertAlign w:val="superscript"/>
        </w:rPr>
        <w:t> </w:t>
      </w:r>
      <w:hyperlink r:id="rId20" w:anchor="ref8" w:history="1">
        <w:r w:rsidRPr="00295ABA">
          <w:rPr>
            <w:rFonts w:ascii="Arial" w:eastAsia="Times New Roman" w:hAnsi="Arial" w:cs="Arial"/>
            <w:color w:val="CC6601"/>
            <w:sz w:val="17"/>
            <w:vertAlign w:val="superscript"/>
          </w:rPr>
          <w:t>[8]</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C5a binds to the respective receptors on the mast cell surface augmenting histamine secretion by degranulation</w:t>
      </w:r>
      <w:r w:rsidRPr="00295ABA">
        <w:rPr>
          <w:rFonts w:ascii="Verdana" w:eastAsia="Times New Roman" w:hAnsi="Verdana" w:cs="Times New Roman"/>
          <w:color w:val="000000"/>
          <w:sz w:val="18"/>
        </w:rPr>
        <w:t> </w:t>
      </w:r>
      <w:hyperlink r:id="rId21" w:tgtFrame="_blank" w:history="1">
        <w:r w:rsidRPr="00295ABA">
          <w:rPr>
            <w:rFonts w:ascii="Arial" w:eastAsia="Times New Roman" w:hAnsi="Arial" w:cs="Arial"/>
            <w:color w:val="CC6601"/>
            <w:sz w:val="17"/>
          </w:rPr>
          <w:t>[Figure - 1]</w:t>
        </w:r>
      </w:hyperlink>
      <w:r w:rsidRPr="00295ABA">
        <w:rPr>
          <w:rFonts w:ascii="Verdana" w:eastAsia="Times New Roman" w:hAnsi="Verdana" w:cs="Times New Roman"/>
          <w:color w:val="000000"/>
          <w:sz w:val="18"/>
          <w:szCs w:val="18"/>
          <w:shd w:val="clear" w:color="auto" w:fill="FFFFFF"/>
        </w:rPr>
        <w:t>.</w:t>
      </w:r>
      <w:r w:rsidRPr="00295ABA">
        <w:rPr>
          <w:rFonts w:ascii="Verdana" w:eastAsia="Times New Roman" w:hAnsi="Verdana" w:cs="Times New Roman"/>
          <w:color w:val="000000"/>
          <w:sz w:val="24"/>
          <w:szCs w:val="24"/>
          <w:vertAlign w:val="superscript"/>
        </w:rPr>
        <w:t> </w:t>
      </w:r>
      <w:hyperlink r:id="rId22" w:anchor="ref8" w:history="1">
        <w:r w:rsidRPr="00295ABA">
          <w:rPr>
            <w:rFonts w:ascii="Arial" w:eastAsia="Times New Roman" w:hAnsi="Arial" w:cs="Arial"/>
            <w:color w:val="CC6601"/>
            <w:sz w:val="17"/>
            <w:vertAlign w:val="superscript"/>
          </w:rPr>
          <w:t>[8]</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The only</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shd w:val="clear" w:color="auto" w:fill="FFFFFF"/>
        </w:rPr>
        <w:t>in vivo</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screening test for AIU is ASST with a sensitivity and specificity of 70 and 80% respectively in the detection of histamine release by basophils and cutaneous mast cells.</w:t>
      </w:r>
      <w:r w:rsidRPr="00295ABA">
        <w:rPr>
          <w:rFonts w:ascii="Verdana" w:eastAsia="Times New Roman" w:hAnsi="Verdana" w:cs="Times New Roman"/>
          <w:color w:val="000000"/>
          <w:sz w:val="24"/>
          <w:szCs w:val="24"/>
          <w:vertAlign w:val="superscript"/>
        </w:rPr>
        <w:t> </w:t>
      </w:r>
      <w:hyperlink r:id="rId23" w:anchor="ref1" w:history="1">
        <w:r w:rsidRPr="00295ABA">
          <w:rPr>
            <w:rFonts w:ascii="Arial" w:eastAsia="Times New Roman" w:hAnsi="Arial" w:cs="Arial"/>
            <w:color w:val="CC6601"/>
            <w:sz w:val="17"/>
            <w:vertAlign w:val="superscript"/>
          </w:rPr>
          <w:t>[1]</w:t>
        </w:r>
      </w:hyperlink>
      <w:bookmarkEnd w:id="0"/>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Peripheral blood basophil count is reduced or absent in patients with AIU.</w:t>
      </w:r>
      <w:r w:rsidRPr="00295ABA">
        <w:rPr>
          <w:rFonts w:ascii="Verdana" w:eastAsia="Times New Roman" w:hAnsi="Verdana" w:cs="Times New Roman"/>
          <w:color w:val="000000"/>
          <w:sz w:val="24"/>
          <w:szCs w:val="24"/>
          <w:vertAlign w:val="superscript"/>
        </w:rPr>
        <w:t> </w:t>
      </w:r>
      <w:bookmarkStart w:id="10" w:name="ft11"/>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"ref11"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[11]</w:t>
      </w:r>
      <w:r w:rsidRPr="00295ABA">
        <w:rPr>
          <w:rFonts w:ascii="Verdana" w:eastAsia="Times New Roman" w:hAnsi="Verdana" w:cs="Times New Roman"/>
          <w:color w:val="000000"/>
          <w:sz w:val="24"/>
          <w:szCs w:val="24"/>
          <w:shd w:val="clear" w:color="auto" w:fill="FFFFFF"/>
          <w:vertAlign w:val="superscript"/>
        </w:rPr>
        <w:fldChar w:fldCharType="end"/>
      </w:r>
      <w:bookmarkEnd w:id="10"/>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The confirmatory diagnostic tests include basophil CD63 expression assay and basophil histamine release assay.</w:t>
      </w:r>
      <w:r w:rsidRPr="00295ABA">
        <w:rPr>
          <w:rFonts w:ascii="Verdana" w:eastAsia="Times New Roman" w:hAnsi="Verdana" w:cs="Times New Roman"/>
          <w:color w:val="000000"/>
          <w:sz w:val="24"/>
          <w:szCs w:val="24"/>
          <w:vertAlign w:val="superscript"/>
        </w:rPr>
        <w:t> </w:t>
      </w:r>
      <w:hyperlink r:id="rId24" w:anchor="ref10" w:history="1">
        <w:r w:rsidRPr="00295ABA">
          <w:rPr>
            <w:rFonts w:ascii="Arial" w:eastAsia="Times New Roman" w:hAnsi="Arial" w:cs="Arial"/>
            <w:color w:val="CC6601"/>
            <w:sz w:val="17"/>
            <w:vertAlign w:val="superscript"/>
          </w:rPr>
          <w:t>[10]</w:t>
        </w:r>
      </w:hyperlink>
      <w:proofErr w:type="gramStart"/>
      <w:r w:rsidRPr="00295ABA">
        <w:rPr>
          <w:rFonts w:ascii="Verdana" w:eastAsia="Times New Roman" w:hAnsi="Verdana" w:cs="Times New Roman"/>
          <w:color w:val="000000"/>
          <w:sz w:val="24"/>
          <w:szCs w:val="24"/>
          <w:shd w:val="clear" w:color="auto" w:fill="FFFFFF"/>
          <w:vertAlign w:val="superscript"/>
        </w:rPr>
        <w:t>,</w:t>
      </w:r>
      <w:bookmarkStart w:id="11" w:name="ft12"/>
      <w:proofErr w:type="gramEnd"/>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"ref12"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[12]</w:t>
      </w:r>
      <w:r w:rsidRPr="00295ABA">
        <w:rPr>
          <w:rFonts w:ascii="Verdana" w:eastAsia="Times New Roman" w:hAnsi="Verdana" w:cs="Times New Roman"/>
          <w:color w:val="000000"/>
          <w:sz w:val="24"/>
          <w:szCs w:val="24"/>
          <w:shd w:val="clear" w:color="auto" w:fill="FFFFFF"/>
          <w:vertAlign w:val="superscript"/>
        </w:rPr>
        <w:fldChar w:fldCharType="end"/>
      </w:r>
      <w:bookmarkEnd w:id="11"/>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These tests are not available in India and access to them is limited even in developed countries.</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Histopathological features of AIU remain almost indistinguishable from CIU except for a more intense granulocyte infiltrate in the former.</w:t>
      </w:r>
      <w:r w:rsidRPr="00295ABA">
        <w:rPr>
          <w:rFonts w:ascii="Verdana" w:eastAsia="Times New Roman" w:hAnsi="Verdana" w:cs="Times New Roman"/>
          <w:color w:val="000000"/>
          <w:sz w:val="24"/>
          <w:szCs w:val="24"/>
          <w:vertAlign w:val="superscript"/>
        </w:rPr>
        <w:t> </w:t>
      </w:r>
      <w:hyperlink r:id="rId25" w:anchor="ref8" w:history="1">
        <w:r w:rsidRPr="00295ABA">
          <w:rPr>
            <w:rFonts w:ascii="Arial" w:eastAsia="Times New Roman" w:hAnsi="Arial" w:cs="Arial"/>
            <w:color w:val="CC6601"/>
            <w:sz w:val="17"/>
            <w:vertAlign w:val="superscript"/>
          </w:rPr>
          <w:t>[8]</w:t>
        </w:r>
      </w:hyperlink>
      <w:proofErr w:type="gramStart"/>
      <w:r w:rsidRPr="00295ABA">
        <w:rPr>
          <w:rFonts w:ascii="Verdana" w:eastAsia="Times New Roman" w:hAnsi="Verdana" w:cs="Times New Roman"/>
          <w:color w:val="000000"/>
          <w:sz w:val="24"/>
          <w:szCs w:val="24"/>
          <w:shd w:val="clear" w:color="auto" w:fill="FFFFFF"/>
          <w:vertAlign w:val="superscript"/>
        </w:rPr>
        <w:t>,</w:t>
      </w:r>
      <w:proofErr w:type="gramEnd"/>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"ref10"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[10]</w:t>
      </w:r>
      <w:r w:rsidRPr="00295ABA">
        <w:rPr>
          <w:rFonts w:ascii="Verdana" w:eastAsia="Times New Roman" w:hAnsi="Verdana" w:cs="Times New Roman"/>
          <w:color w:val="000000"/>
          <w:sz w:val="24"/>
          <w:szCs w:val="24"/>
          <w:shd w:val="clear" w:color="auto" w:fill="FFFFFF"/>
          <w:vertAlign w:val="superscript"/>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Thyroid function tests and screening for thyroid autoantibodies are recommended only in the presence of clinical features of thyroid dysfunction.</w:t>
      </w:r>
      <w:r w:rsidRPr="00295ABA">
        <w:rPr>
          <w:rFonts w:ascii="Verdana" w:eastAsia="Times New Roman" w:hAnsi="Verdana" w:cs="Times New Roman"/>
          <w:color w:val="000000"/>
          <w:sz w:val="24"/>
          <w:szCs w:val="24"/>
          <w:vertAlign w:val="superscript"/>
        </w:rPr>
        <w:t> </w:t>
      </w:r>
      <w:bookmarkStart w:id="12" w:name="ft13"/>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"ref13"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[13]</w:t>
      </w:r>
      <w:r w:rsidRPr="00295ABA">
        <w:rPr>
          <w:rFonts w:ascii="Verdana" w:eastAsia="Times New Roman" w:hAnsi="Verdana" w:cs="Times New Roman"/>
          <w:color w:val="000000"/>
          <w:sz w:val="24"/>
          <w:szCs w:val="24"/>
          <w:shd w:val="clear" w:color="auto" w:fill="FFFFFF"/>
          <w:vertAlign w:val="superscript"/>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In the series of patients studied by Mamatha</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shd w:val="clear" w:color="auto" w:fill="FFFFFF"/>
        </w:rPr>
        <w:t>et al.</w:t>
      </w:r>
      <w:r w:rsidRPr="00295ABA">
        <w:rPr>
          <w:rFonts w:ascii="Verdana" w:eastAsia="Times New Roman" w:hAnsi="Verdana" w:cs="Times New Roman"/>
          <w:color w:val="000000"/>
          <w:sz w:val="18"/>
        </w:rPr>
        <w:t> </w:t>
      </w:r>
      <w:hyperlink r:id="rId26" w:anchor="ref5" w:history="1">
        <w:r w:rsidRPr="00295ABA">
          <w:rPr>
            <w:rFonts w:ascii="Arial" w:eastAsia="Times New Roman" w:hAnsi="Arial" w:cs="Arial"/>
            <w:color w:val="CC6601"/>
            <w:sz w:val="17"/>
          </w:rPr>
          <w:t>[5]</w:t>
        </w:r>
      </w:hyperlink>
      <w:bookmarkEnd w:id="4"/>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 xml:space="preserve">three ASST-positive patients showed abnormal thyroid </w:t>
      </w:r>
      <w:proofErr w:type="gramStart"/>
      <w:r w:rsidRPr="00295ABA">
        <w:rPr>
          <w:rFonts w:ascii="Verdana" w:eastAsia="Times New Roman" w:hAnsi="Verdana" w:cs="Times New Roman"/>
          <w:color w:val="000000"/>
          <w:sz w:val="18"/>
          <w:szCs w:val="18"/>
          <w:shd w:val="clear" w:color="auto" w:fill="FFFFFF"/>
        </w:rPr>
        <w:t>function</w:t>
      </w:r>
      <w:proofErr w:type="gramEnd"/>
      <w:r w:rsidRPr="00295ABA">
        <w:rPr>
          <w:rFonts w:ascii="Verdana" w:eastAsia="Times New Roman" w:hAnsi="Verdana" w:cs="Times New Roman"/>
          <w:color w:val="000000"/>
          <w:sz w:val="18"/>
          <w:szCs w:val="18"/>
          <w:shd w:val="clear" w:color="auto" w:fill="FFFFFF"/>
        </w:rPr>
        <w:t xml:space="preserve"> tests.</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Patients with AIU are poor responders to conventional antihistamine therapy. When the wheals are uncontrolled in spite of optimum dosage of non-sedating and sedating antihistamines, adjunctive medications like H2 receptor antagonists and leukotriene antagonists should be attempted.</w:t>
      </w:r>
      <w:r w:rsidRPr="00295ABA">
        <w:rPr>
          <w:rFonts w:ascii="Verdana" w:eastAsia="Times New Roman" w:hAnsi="Verdana" w:cs="Times New Roman"/>
          <w:color w:val="000000"/>
          <w:sz w:val="24"/>
          <w:szCs w:val="24"/>
          <w:vertAlign w:val="superscript"/>
        </w:rPr>
        <w:t> </w:t>
      </w:r>
      <w:hyperlink r:id="rId27" w:anchor="ref8" w:history="1">
        <w:r w:rsidRPr="00295ABA">
          <w:rPr>
            <w:rFonts w:ascii="Arial" w:eastAsia="Times New Roman" w:hAnsi="Arial" w:cs="Arial"/>
            <w:color w:val="CC6601"/>
            <w:sz w:val="17"/>
            <w:vertAlign w:val="superscript"/>
          </w:rPr>
          <w:t>[8]</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However, monotherapy with oral leukotriene receptor antagonist (montelukast) was found to be ineffective in a group of Indian patients with CIU demonstrating positive ASST.</w:t>
      </w:r>
      <w:r w:rsidRPr="00295ABA">
        <w:rPr>
          <w:rFonts w:ascii="Verdana" w:eastAsia="Times New Roman" w:hAnsi="Verdana" w:cs="Times New Roman"/>
          <w:color w:val="000000"/>
          <w:sz w:val="24"/>
          <w:szCs w:val="24"/>
          <w:vertAlign w:val="superscript"/>
        </w:rPr>
        <w:t> </w:t>
      </w:r>
      <w:bookmarkStart w:id="13" w:name="ft14"/>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"ref14"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[14]</w:t>
      </w:r>
      <w:r w:rsidRPr="00295ABA">
        <w:rPr>
          <w:rFonts w:ascii="Verdana" w:eastAsia="Times New Roman" w:hAnsi="Verdana" w:cs="Times New Roman"/>
          <w:color w:val="000000"/>
          <w:sz w:val="24"/>
          <w:szCs w:val="24"/>
          <w:shd w:val="clear" w:color="auto" w:fill="FFFFFF"/>
          <w:vertAlign w:val="superscript"/>
        </w:rPr>
        <w:fldChar w:fldCharType="end"/>
      </w:r>
      <w:bookmarkEnd w:id="13"/>
      <w:r w:rsidRPr="00295ABA">
        <w:rPr>
          <w:rFonts w:ascii="Verdana" w:eastAsia="Times New Roman" w:hAnsi="Verdana" w:cs="Times New Roman"/>
          <w:color w:val="000000"/>
          <w:sz w:val="24"/>
          <w:szCs w:val="24"/>
          <w:vertAlign w:val="superscript"/>
        </w:rPr>
        <w:t> </w:t>
      </w:r>
      <w:r w:rsidRPr="00295ABA">
        <w:rPr>
          <w:rFonts w:ascii="Verdana" w:eastAsia="Times New Roman" w:hAnsi="Verdana" w:cs="Times New Roman"/>
          <w:color w:val="000000"/>
          <w:sz w:val="18"/>
          <w:szCs w:val="18"/>
          <w:shd w:val="clear" w:color="auto" w:fill="FFFFFF"/>
        </w:rPr>
        <w:t>Short-term, alternate day regimen of systemic steroids may be used to tackle severe, persistent episodes but steroids do not affect mast cell degranulation or complement activation.</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 xml:space="preserve">When the disease is disabling, immunosuppressive therapy is warranted. Although these therapies should bring dramatic effect to this disorder of autoimmune pathogenesis, only selected patients are found to be responsive. The drugs which have been tried for this purpose include cyclosporine, </w:t>
      </w:r>
      <w:r w:rsidRPr="00295ABA">
        <w:rPr>
          <w:rFonts w:ascii="Verdana" w:eastAsia="Times New Roman" w:hAnsi="Verdana" w:cs="Times New Roman"/>
          <w:color w:val="000000"/>
          <w:sz w:val="18"/>
          <w:szCs w:val="18"/>
          <w:shd w:val="clear" w:color="auto" w:fill="FFFFFF"/>
        </w:rPr>
        <w:lastRenderedPageBreak/>
        <w:t xml:space="preserve">methotrexate, </w:t>
      </w:r>
      <w:proofErr w:type="gramStart"/>
      <w:r w:rsidRPr="00295ABA">
        <w:rPr>
          <w:rFonts w:ascii="Verdana" w:eastAsia="Times New Roman" w:hAnsi="Verdana" w:cs="Times New Roman"/>
          <w:color w:val="000000"/>
          <w:sz w:val="18"/>
          <w:szCs w:val="18"/>
          <w:shd w:val="clear" w:color="auto" w:fill="FFFFFF"/>
        </w:rPr>
        <w:t>azathioprine</w:t>
      </w:r>
      <w:proofErr w:type="gramEnd"/>
      <w:r w:rsidRPr="00295ABA">
        <w:rPr>
          <w:rFonts w:ascii="Verdana" w:eastAsia="Times New Roman" w:hAnsi="Verdana" w:cs="Times New Roman"/>
          <w:color w:val="000000"/>
          <w:sz w:val="18"/>
          <w:szCs w:val="18"/>
          <w:shd w:val="clear" w:color="auto" w:fill="FFFFFF"/>
        </w:rPr>
        <w:t xml:space="preserve"> and mycophenolate mofetil.</w:t>
      </w:r>
      <w:r w:rsidRPr="00295ABA">
        <w:rPr>
          <w:rFonts w:ascii="Verdana" w:eastAsia="Times New Roman" w:hAnsi="Verdana" w:cs="Times New Roman"/>
          <w:color w:val="000000"/>
          <w:sz w:val="24"/>
          <w:szCs w:val="24"/>
          <w:vertAlign w:val="superscript"/>
        </w:rPr>
        <w:t> </w:t>
      </w:r>
      <w:hyperlink r:id="rId28" w:anchor="ref10" w:history="1">
        <w:r w:rsidRPr="00295ABA">
          <w:rPr>
            <w:rFonts w:ascii="Arial" w:eastAsia="Times New Roman" w:hAnsi="Arial" w:cs="Arial"/>
            <w:color w:val="CC6601"/>
            <w:sz w:val="17"/>
            <w:vertAlign w:val="superscript"/>
          </w:rPr>
          <w:t>[10]</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Cyclosporine is a steroid-sparing drug in the management of AIU. It is used where steroids are contraindicated or in patients who have developed significant side effects due to prolonged use of systemic steroids.</w:t>
      </w:r>
      <w:r w:rsidRPr="00295ABA">
        <w:rPr>
          <w:rFonts w:ascii="Verdana" w:eastAsia="Times New Roman" w:hAnsi="Verdana" w:cs="Times New Roman"/>
          <w:color w:val="000000"/>
          <w:sz w:val="24"/>
          <w:szCs w:val="24"/>
          <w:vertAlign w:val="superscript"/>
        </w:rPr>
        <w:t> </w:t>
      </w:r>
      <w:hyperlink r:id="rId29" w:anchor="ref8" w:history="1">
        <w:r w:rsidRPr="00295ABA">
          <w:rPr>
            <w:rFonts w:ascii="Arial" w:eastAsia="Times New Roman" w:hAnsi="Arial" w:cs="Arial"/>
            <w:color w:val="CC6601"/>
            <w:sz w:val="17"/>
            <w:vertAlign w:val="superscript"/>
          </w:rPr>
          <w:t>[8]</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Cyclosporine has been found to be effective, used in the dosage of 3-5 mg/kg/day for a minimum period of 1 month.</w:t>
      </w:r>
      <w:r w:rsidRPr="00295ABA">
        <w:rPr>
          <w:rFonts w:ascii="Verdana" w:eastAsia="Times New Roman" w:hAnsi="Verdana" w:cs="Times New Roman"/>
          <w:color w:val="000000"/>
          <w:sz w:val="24"/>
          <w:szCs w:val="24"/>
          <w:vertAlign w:val="superscript"/>
        </w:rPr>
        <w:t> </w:t>
      </w:r>
      <w:hyperlink r:id="rId30" w:anchor="ref13" w:history="1">
        <w:r w:rsidRPr="00295ABA">
          <w:rPr>
            <w:rFonts w:ascii="Arial" w:eastAsia="Times New Roman" w:hAnsi="Arial" w:cs="Arial"/>
            <w:color w:val="CC6601"/>
            <w:sz w:val="17"/>
            <w:vertAlign w:val="superscript"/>
          </w:rPr>
          <w:t>[13]</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An excellent response (&gt;75%) has been observed following 12 weeks of cyclosporine therapy, of which 1/3</w:t>
      </w:r>
      <w:r w:rsidRPr="00295ABA">
        <w:rPr>
          <w:rFonts w:ascii="Verdana" w:eastAsia="Times New Roman" w:hAnsi="Verdana" w:cs="Times New Roman"/>
          <w:color w:val="000000"/>
          <w:sz w:val="24"/>
          <w:szCs w:val="24"/>
          <w:vertAlign w:val="superscript"/>
        </w:rPr>
        <w:t> </w:t>
      </w:r>
      <w:r w:rsidRPr="00295ABA">
        <w:rPr>
          <w:rFonts w:ascii="Verdana" w:eastAsia="Times New Roman" w:hAnsi="Verdana" w:cs="Times New Roman"/>
          <w:color w:val="000000"/>
          <w:sz w:val="24"/>
          <w:szCs w:val="24"/>
          <w:shd w:val="clear" w:color="auto" w:fill="FFFFFF"/>
          <w:vertAlign w:val="superscript"/>
        </w:rPr>
        <w:t>rd</w:t>
      </w:r>
      <w:r w:rsidRPr="00295ABA">
        <w:rPr>
          <w:rFonts w:ascii="Verdana" w:eastAsia="Times New Roman" w:hAnsi="Verdana" w:cs="Times New Roman"/>
          <w:color w:val="000000"/>
          <w:sz w:val="18"/>
          <w:szCs w:val="18"/>
          <w:shd w:val="clear" w:color="auto" w:fill="FFFFFF"/>
        </w:rPr>
        <w:t>patients achieved complete remission, 1/3</w:t>
      </w:r>
      <w:r w:rsidRPr="00295ABA">
        <w:rPr>
          <w:rFonts w:ascii="Verdana" w:eastAsia="Times New Roman" w:hAnsi="Verdana" w:cs="Times New Roman"/>
          <w:color w:val="000000"/>
          <w:sz w:val="24"/>
          <w:szCs w:val="24"/>
          <w:vertAlign w:val="superscript"/>
        </w:rPr>
        <w:t> </w:t>
      </w:r>
      <w:r w:rsidRPr="00295ABA">
        <w:rPr>
          <w:rFonts w:ascii="Verdana" w:eastAsia="Times New Roman" w:hAnsi="Verdana" w:cs="Times New Roman"/>
          <w:color w:val="000000"/>
          <w:sz w:val="24"/>
          <w:szCs w:val="24"/>
          <w:shd w:val="clear" w:color="auto" w:fill="FFFFFF"/>
          <w:vertAlign w:val="superscript"/>
        </w:rPr>
        <w:t>rd</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had mild relapse and the rest experienced a relapse to pretreatment levels.</w:t>
      </w:r>
      <w:r w:rsidRPr="00295ABA">
        <w:rPr>
          <w:rFonts w:ascii="Verdana" w:eastAsia="Times New Roman" w:hAnsi="Verdana" w:cs="Times New Roman"/>
          <w:color w:val="000000"/>
          <w:sz w:val="24"/>
          <w:szCs w:val="24"/>
          <w:vertAlign w:val="superscript"/>
        </w:rPr>
        <w:t> </w:t>
      </w:r>
      <w:bookmarkStart w:id="14" w:name="ft15"/>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"ref15"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[15]</w:t>
      </w:r>
      <w:r w:rsidRPr="00295ABA">
        <w:rPr>
          <w:rFonts w:ascii="Verdana" w:eastAsia="Times New Roman" w:hAnsi="Verdana" w:cs="Times New Roman"/>
          <w:color w:val="000000"/>
          <w:sz w:val="24"/>
          <w:szCs w:val="24"/>
          <w:shd w:val="clear" w:color="auto" w:fill="FFFFFF"/>
          <w:vertAlign w:val="superscript"/>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Continuation of antihistamine therapy is recommended along with cyclosporine.</w:t>
      </w:r>
      <w:r w:rsidRPr="00295ABA">
        <w:rPr>
          <w:rFonts w:ascii="Verdana" w:eastAsia="Times New Roman" w:hAnsi="Verdana" w:cs="Times New Roman"/>
          <w:color w:val="000000"/>
          <w:sz w:val="24"/>
          <w:szCs w:val="24"/>
          <w:vertAlign w:val="superscript"/>
        </w:rPr>
        <w:t> </w:t>
      </w:r>
      <w:hyperlink r:id="rId31" w:anchor="ref13" w:history="1">
        <w:r w:rsidRPr="00295ABA">
          <w:rPr>
            <w:rFonts w:ascii="Arial" w:eastAsia="Times New Roman" w:hAnsi="Arial" w:cs="Arial"/>
            <w:color w:val="CC6601"/>
            <w:sz w:val="17"/>
            <w:vertAlign w:val="superscript"/>
          </w:rPr>
          <w:t>[13]</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The mechanism of action of cyclosporine includes inhibition of basophil and mast cell degranulation by interfering with intracellular signaling in cells following cross-linking of the IgE receptor.</w:t>
      </w:r>
      <w:r w:rsidRPr="00295ABA">
        <w:rPr>
          <w:rFonts w:ascii="Verdana" w:eastAsia="Times New Roman" w:hAnsi="Verdana" w:cs="Times New Roman"/>
          <w:color w:val="000000"/>
          <w:sz w:val="24"/>
          <w:szCs w:val="24"/>
          <w:vertAlign w:val="superscript"/>
        </w:rPr>
        <w:t> </w:t>
      </w:r>
      <w:hyperlink r:id="rId32" w:anchor="ref8" w:history="1">
        <w:r w:rsidRPr="00295ABA">
          <w:rPr>
            <w:rFonts w:ascii="Arial" w:eastAsia="Times New Roman" w:hAnsi="Arial" w:cs="Arial"/>
            <w:color w:val="CC6601"/>
            <w:sz w:val="17"/>
            <w:vertAlign w:val="superscript"/>
          </w:rPr>
          <w:t>[8]</w:t>
        </w:r>
      </w:hyperlink>
      <w:proofErr w:type="gramStart"/>
      <w:r w:rsidRPr="00295ABA">
        <w:rPr>
          <w:rFonts w:ascii="Verdana" w:eastAsia="Times New Roman" w:hAnsi="Verdana" w:cs="Times New Roman"/>
          <w:color w:val="000000"/>
          <w:sz w:val="24"/>
          <w:szCs w:val="24"/>
          <w:shd w:val="clear" w:color="auto" w:fill="FFFFFF"/>
          <w:vertAlign w:val="superscript"/>
        </w:rPr>
        <w:t>,</w:t>
      </w:r>
      <w:proofErr w:type="gramEnd"/>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"ref15"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[15]</w:t>
      </w:r>
      <w:r w:rsidRPr="00295ABA">
        <w:rPr>
          <w:rFonts w:ascii="Verdana" w:eastAsia="Times New Roman" w:hAnsi="Verdana" w:cs="Times New Roman"/>
          <w:color w:val="000000"/>
          <w:sz w:val="24"/>
          <w:szCs w:val="24"/>
          <w:shd w:val="clear" w:color="auto" w:fill="FFFFFF"/>
          <w:vertAlign w:val="superscript"/>
        </w:rPr>
        <w:fldChar w:fldCharType="end"/>
      </w:r>
      <w:bookmarkEnd w:id="14"/>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Close monitoring of patients on cyclosporine therapy is needed.</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Weekly methotrexate therapy (2.5 mg every 12 h for 2 days/week, followed by the same dosage 3 days/week for 6 weeks) has been found to be effective in decreasing pruritus and wheals and improving sleep and daily activities.</w:t>
      </w:r>
      <w:r w:rsidRPr="00295ABA">
        <w:rPr>
          <w:rFonts w:ascii="Verdana" w:eastAsia="Times New Roman" w:hAnsi="Verdana" w:cs="Times New Roman"/>
          <w:color w:val="000000"/>
          <w:sz w:val="24"/>
          <w:szCs w:val="24"/>
          <w:vertAlign w:val="superscript"/>
        </w:rPr>
        <w:t> </w:t>
      </w:r>
      <w:bookmarkStart w:id="15" w:name="ft16"/>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"ref16"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[16]</w:t>
      </w:r>
      <w:r w:rsidRPr="00295ABA">
        <w:rPr>
          <w:rFonts w:ascii="Verdana" w:eastAsia="Times New Roman" w:hAnsi="Verdana" w:cs="Times New Roman"/>
          <w:color w:val="000000"/>
          <w:sz w:val="24"/>
          <w:szCs w:val="24"/>
          <w:shd w:val="clear" w:color="auto" w:fill="FFFFFF"/>
          <w:vertAlign w:val="superscript"/>
        </w:rPr>
        <w:fldChar w:fldCharType="end"/>
      </w:r>
      <w:bookmarkEnd w:id="15"/>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Although this has little effect on angioedema, it has been proposed as a cost-effective alternative to cyclosporine even in Indian set-up.</w:t>
      </w:r>
      <w:r w:rsidRPr="00295ABA">
        <w:rPr>
          <w:rFonts w:ascii="Verdana" w:eastAsia="Times New Roman" w:hAnsi="Verdana" w:cs="Times New Roman"/>
          <w:color w:val="000000"/>
          <w:sz w:val="24"/>
          <w:szCs w:val="24"/>
          <w:vertAlign w:val="superscript"/>
        </w:rPr>
        <w:t> </w:t>
      </w:r>
      <w:bookmarkStart w:id="16" w:name="ft17"/>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"ref17"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[17]</w:t>
      </w:r>
      <w:r w:rsidRPr="00295ABA">
        <w:rPr>
          <w:rFonts w:ascii="Verdana" w:eastAsia="Times New Roman" w:hAnsi="Verdana" w:cs="Times New Roman"/>
          <w:color w:val="000000"/>
          <w:sz w:val="24"/>
          <w:szCs w:val="24"/>
          <w:shd w:val="clear" w:color="auto" w:fill="FFFFFF"/>
          <w:vertAlign w:val="superscript"/>
        </w:rPr>
        <w:fldChar w:fldCharType="end"/>
      </w:r>
      <w:bookmarkEnd w:id="16"/>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Intravenous immunoglobulin (0.4 g/kg for 5 days) was effective in relieving symptoms in patients with chronic AIU and achieving ASST negativity as well as long-term (&gt;3 years) remission.</w:t>
      </w:r>
      <w:r w:rsidRPr="00295ABA">
        <w:rPr>
          <w:rFonts w:ascii="Verdana" w:eastAsia="Times New Roman" w:hAnsi="Verdana" w:cs="Times New Roman"/>
          <w:color w:val="000000"/>
          <w:sz w:val="24"/>
          <w:szCs w:val="24"/>
          <w:vertAlign w:val="superscript"/>
        </w:rPr>
        <w:t> </w:t>
      </w:r>
      <w:bookmarkStart w:id="17" w:name="ft18"/>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"ref18"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[18]</w:t>
      </w:r>
      <w:r w:rsidRPr="00295ABA">
        <w:rPr>
          <w:rFonts w:ascii="Verdana" w:eastAsia="Times New Roman" w:hAnsi="Verdana" w:cs="Times New Roman"/>
          <w:color w:val="000000"/>
          <w:sz w:val="24"/>
          <w:szCs w:val="24"/>
          <w:shd w:val="clear" w:color="auto" w:fill="FFFFFF"/>
          <w:vertAlign w:val="superscript"/>
        </w:rPr>
        <w:fldChar w:fldCharType="end"/>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Complete, permanent remission was reported in patients who attained ASST negativity within 6 months of therapy.</w:t>
      </w:r>
      <w:r w:rsidRPr="00295ABA">
        <w:rPr>
          <w:rFonts w:ascii="Verdana" w:eastAsia="Times New Roman" w:hAnsi="Verdana" w:cs="Times New Roman"/>
          <w:color w:val="000000"/>
          <w:sz w:val="24"/>
          <w:szCs w:val="24"/>
          <w:vertAlign w:val="superscript"/>
        </w:rPr>
        <w:t> </w:t>
      </w:r>
      <w:hyperlink r:id="rId33" w:anchor="ref18" w:history="1">
        <w:r w:rsidRPr="00295ABA">
          <w:rPr>
            <w:rFonts w:ascii="Arial" w:eastAsia="Times New Roman" w:hAnsi="Arial" w:cs="Arial"/>
            <w:color w:val="CC6601"/>
            <w:sz w:val="17"/>
            <w:vertAlign w:val="superscript"/>
          </w:rPr>
          <w:t>[18]</w:t>
        </w:r>
      </w:hyperlink>
      <w:bookmarkEnd w:id="17"/>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High-dose, intravenous immunoglobulin monotherapy (2 g/kg over 24 h) has also been used successfully. This one-time therapy had brought complete remission for 7 months; relapse occurred thereafter and repetition of the same therapy resulted in only moderate response.</w:t>
      </w:r>
      <w:r w:rsidRPr="00295ABA">
        <w:rPr>
          <w:rFonts w:ascii="Verdana" w:eastAsia="Times New Roman" w:hAnsi="Verdana" w:cs="Times New Roman"/>
          <w:color w:val="000000"/>
          <w:sz w:val="24"/>
          <w:szCs w:val="24"/>
          <w:vertAlign w:val="superscript"/>
        </w:rPr>
        <w:t> </w:t>
      </w:r>
      <w:bookmarkStart w:id="18" w:name="ft19"/>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"ref19"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[19]</w:t>
      </w:r>
      <w:r w:rsidRPr="00295ABA">
        <w:rPr>
          <w:rFonts w:ascii="Verdana" w:eastAsia="Times New Roman" w:hAnsi="Verdana" w:cs="Times New Roman"/>
          <w:color w:val="000000"/>
          <w:sz w:val="24"/>
          <w:szCs w:val="24"/>
          <w:shd w:val="clear" w:color="auto" w:fill="FFFFFF"/>
          <w:vertAlign w:val="superscript"/>
        </w:rPr>
        <w:fldChar w:fldCharType="end"/>
      </w:r>
      <w:bookmarkEnd w:id="18"/>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Although the exact mechanism of action is unknown, presence of anti-idiotypic antibodies capable of suppressing IgE autoantibodies, in the intravenous immunoglobulin (IVIG) preparation has been suggested.</w:t>
      </w:r>
      <w:r w:rsidRPr="00295ABA">
        <w:rPr>
          <w:rFonts w:ascii="Verdana" w:eastAsia="Times New Roman" w:hAnsi="Verdana" w:cs="Times New Roman"/>
          <w:color w:val="000000"/>
          <w:sz w:val="24"/>
          <w:szCs w:val="24"/>
          <w:vertAlign w:val="superscript"/>
        </w:rPr>
        <w:t> </w:t>
      </w:r>
      <w:bookmarkStart w:id="19" w:name="ft20"/>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"ref20"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[20]</w:t>
      </w:r>
      <w:r w:rsidRPr="00295ABA">
        <w:rPr>
          <w:rFonts w:ascii="Verdana" w:eastAsia="Times New Roman" w:hAnsi="Verdana" w:cs="Times New Roman"/>
          <w:color w:val="000000"/>
          <w:sz w:val="24"/>
          <w:szCs w:val="24"/>
          <w:shd w:val="clear" w:color="auto" w:fill="FFFFFF"/>
          <w:vertAlign w:val="superscript"/>
        </w:rPr>
        <w:fldChar w:fldCharType="end"/>
      </w:r>
      <w:bookmarkEnd w:id="19"/>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Plasmapheresis was found to be beneficial in a small series of patients with AIU by eliminating the functional autoantibodies from system.</w:t>
      </w:r>
      <w:r w:rsidRPr="00295ABA">
        <w:rPr>
          <w:rFonts w:ascii="Verdana" w:eastAsia="Times New Roman" w:hAnsi="Verdana" w:cs="Times New Roman"/>
          <w:color w:val="000000"/>
          <w:sz w:val="24"/>
          <w:szCs w:val="24"/>
          <w:vertAlign w:val="superscript"/>
        </w:rPr>
        <w:t> </w:t>
      </w:r>
      <w:bookmarkStart w:id="20" w:name="ft21"/>
      <w:r w:rsidRPr="00295ABA">
        <w:rPr>
          <w:rFonts w:ascii="Verdana" w:eastAsia="Times New Roman" w:hAnsi="Verdana" w:cs="Times New Roman"/>
          <w:color w:val="000000"/>
          <w:sz w:val="24"/>
          <w:szCs w:val="24"/>
          <w:shd w:val="clear" w:color="auto" w:fill="FFFFFF"/>
          <w:vertAlign w:val="superscript"/>
        </w:rPr>
        <w:fldChar w:fldCharType="begin"/>
      </w:r>
      <w:r w:rsidRPr="00295ABA">
        <w:rPr>
          <w:rFonts w:ascii="Verdana" w:eastAsia="Times New Roman" w:hAnsi="Verdana" w:cs="Times New Roman"/>
          <w:color w:val="000000"/>
          <w:sz w:val="24"/>
          <w:szCs w:val="24"/>
          <w:shd w:val="clear" w:color="auto" w:fill="FFFFFF"/>
          <w:vertAlign w:val="superscript"/>
        </w:rPr>
        <w:instrText xml:space="preserve"> HYPERLINK "http://www.ijdvl.com/article.asp?issn=0378-6323;year=2008;volume=74;issue=2;spage=89;epage=91;aulast=Inamadar" \l "ref21" </w:instrText>
      </w:r>
      <w:r w:rsidRPr="00295ABA">
        <w:rPr>
          <w:rFonts w:ascii="Verdana" w:eastAsia="Times New Roman" w:hAnsi="Verdana" w:cs="Times New Roman"/>
          <w:color w:val="000000"/>
          <w:sz w:val="24"/>
          <w:szCs w:val="24"/>
          <w:shd w:val="clear" w:color="auto" w:fill="FFFFFF"/>
          <w:vertAlign w:val="superscript"/>
        </w:rPr>
        <w:fldChar w:fldCharType="separate"/>
      </w:r>
      <w:r w:rsidRPr="00295ABA">
        <w:rPr>
          <w:rFonts w:ascii="Arial" w:eastAsia="Times New Roman" w:hAnsi="Arial" w:cs="Arial"/>
          <w:color w:val="CC6601"/>
          <w:sz w:val="17"/>
          <w:vertAlign w:val="superscript"/>
        </w:rPr>
        <w:t>[21]</w:t>
      </w:r>
      <w:r w:rsidRPr="00295ABA">
        <w:rPr>
          <w:rFonts w:ascii="Verdana" w:eastAsia="Times New Roman" w:hAnsi="Verdana" w:cs="Times New Roman"/>
          <w:color w:val="000000"/>
          <w:sz w:val="24"/>
          <w:szCs w:val="24"/>
          <w:shd w:val="clear" w:color="auto" w:fill="FFFFFF"/>
          <w:vertAlign w:val="superscript"/>
        </w:rPr>
        <w:fldChar w:fldCharType="end"/>
      </w:r>
      <w:bookmarkEnd w:id="20"/>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Futuristic therapeutic options include selective immunotherapy using humanized, structure-based peptides by epitope mapping of the α-chain of high-affinity IgE receptors.</w:t>
      </w:r>
      <w:r w:rsidRPr="00295ABA">
        <w:rPr>
          <w:rFonts w:ascii="Verdana" w:eastAsia="Times New Roman" w:hAnsi="Verdana" w:cs="Times New Roman"/>
          <w:color w:val="000000"/>
          <w:sz w:val="24"/>
          <w:szCs w:val="24"/>
          <w:vertAlign w:val="superscript"/>
        </w:rPr>
        <w:t> </w:t>
      </w:r>
      <w:hyperlink r:id="rId34" w:anchor="ref8" w:history="1">
        <w:r w:rsidRPr="00295ABA">
          <w:rPr>
            <w:rFonts w:ascii="Arial" w:eastAsia="Times New Roman" w:hAnsi="Arial" w:cs="Arial"/>
            <w:color w:val="CC6601"/>
            <w:sz w:val="17"/>
            <w:vertAlign w:val="superscript"/>
          </w:rPr>
          <w:t>[8]</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DNA-plasmid vaccination to induce tolerance to the α-chain and use of specific antibodies like humanized, monoclonal anti-IgE can be another specific intervention.</w:t>
      </w:r>
      <w:r w:rsidRPr="00295ABA">
        <w:rPr>
          <w:rFonts w:ascii="Verdana" w:eastAsia="Times New Roman" w:hAnsi="Verdana" w:cs="Times New Roman"/>
          <w:color w:val="000000"/>
          <w:sz w:val="24"/>
          <w:szCs w:val="24"/>
          <w:vertAlign w:val="superscript"/>
        </w:rPr>
        <w:t> </w:t>
      </w:r>
      <w:hyperlink r:id="rId35" w:anchor="ref10" w:history="1">
        <w:r w:rsidRPr="00295ABA">
          <w:rPr>
            <w:rFonts w:ascii="Arial" w:eastAsia="Times New Roman" w:hAnsi="Arial" w:cs="Arial"/>
            <w:color w:val="CC6601"/>
            <w:sz w:val="17"/>
            <w:vertAlign w:val="superscript"/>
          </w:rPr>
          <w:t>[10]</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Bajaj</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shd w:val="clear" w:color="auto" w:fill="FFFFFF"/>
        </w:rPr>
        <w:t>et al.</w:t>
      </w:r>
      <w:r w:rsidRPr="00295ABA">
        <w:rPr>
          <w:rFonts w:ascii="Verdana" w:eastAsia="Times New Roman" w:hAnsi="Verdana" w:cs="Times New Roman"/>
          <w:color w:val="000000"/>
          <w:sz w:val="18"/>
        </w:rPr>
        <w:t> </w:t>
      </w:r>
      <w:hyperlink r:id="rId36" w:anchor="ref6" w:history="1">
        <w:r w:rsidRPr="00295ABA">
          <w:rPr>
            <w:rFonts w:ascii="Arial" w:eastAsia="Times New Roman" w:hAnsi="Arial" w:cs="Arial"/>
            <w:color w:val="CC6601"/>
            <w:sz w:val="17"/>
          </w:rPr>
          <w:t>[6]</w:t>
        </w:r>
      </w:hyperlink>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have used autologous serum therapy (AST) for two groups of patients with CIU (ASST-positive and ASST-negative) and found it to be an effective therapeutic modality to reduce disease severity as well as antihistamine requirement. This also prevented relapse of symptoms for durations as long as 2 years.</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The interesting finding in the study by Bajaj</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shd w:val="clear" w:color="auto" w:fill="FFFFFF"/>
        </w:rPr>
        <w:t>et al.</w:t>
      </w:r>
      <w:r w:rsidRPr="00295ABA">
        <w:rPr>
          <w:rFonts w:ascii="Verdana" w:eastAsia="Times New Roman" w:hAnsi="Verdana" w:cs="Times New Roman"/>
          <w:color w:val="000000"/>
          <w:sz w:val="18"/>
        </w:rPr>
        <w:t> </w:t>
      </w:r>
      <w:hyperlink r:id="rId37" w:anchor="ref6" w:history="1">
        <w:r w:rsidRPr="00295ABA">
          <w:rPr>
            <w:rFonts w:ascii="Arial" w:eastAsia="Times New Roman" w:hAnsi="Arial" w:cs="Arial"/>
            <w:color w:val="CC6601"/>
            <w:sz w:val="17"/>
          </w:rPr>
          <w:t>[6]</w:t>
        </w:r>
      </w:hyperlink>
      <w:bookmarkEnd w:id="5"/>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is that the ASST-negative group responded almost equally well to AST as the ASST-positive group. This has raised a question regarding the validity of ASST in detecting AIU. In this context, the possibility of the existence of a subset of patients with AIU who are ASST-negative may also be considered. It is probable that these patients possess a different isotype of anti-α IgG than ASST-positive patients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1</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3,</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18"/>
          <w:szCs w:val="18"/>
          <w:shd w:val="clear" w:color="auto" w:fill="FFFFFF"/>
        </w:rPr>
        <w:t>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4</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 which has a lesser ability to release histamine by basophil activation. The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4</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18"/>
          <w:szCs w:val="18"/>
          <w:shd w:val="clear" w:color="auto" w:fill="FFFFFF"/>
        </w:rPr>
        <w:t>fraction detected in some patients with AIU is not complement-fixing.</w:t>
      </w:r>
      <w:r w:rsidRPr="00295ABA">
        <w:rPr>
          <w:rFonts w:ascii="Verdana" w:eastAsia="Times New Roman" w:hAnsi="Verdana" w:cs="Times New Roman"/>
          <w:color w:val="000000"/>
          <w:sz w:val="24"/>
          <w:szCs w:val="24"/>
          <w:vertAlign w:val="superscript"/>
        </w:rPr>
        <w:t> </w:t>
      </w:r>
      <w:hyperlink r:id="rId38" w:anchor="ref2" w:history="1">
        <w:r w:rsidRPr="00295ABA">
          <w:rPr>
            <w:rFonts w:ascii="Arial" w:eastAsia="Times New Roman" w:hAnsi="Arial" w:cs="Arial"/>
            <w:color w:val="CC6601"/>
            <w:sz w:val="17"/>
            <w:vertAlign w:val="superscript"/>
          </w:rPr>
          <w:t>[2]</w:t>
        </w:r>
      </w:hyperlink>
      <w:bookmarkEnd w:id="1"/>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The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2</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autoantibody has been demonstrated in patients with CIU with negative results in the histamine release assay, irrespective of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2</w:t>
      </w:r>
      <w:r w:rsidRPr="00295ABA">
        <w:rPr>
          <w:rFonts w:ascii="Verdana" w:eastAsia="Times New Roman" w:hAnsi="Verdana" w:cs="Times New Roman"/>
          <w:color w:val="000000"/>
          <w:sz w:val="18"/>
        </w:rPr>
        <w:t> </w:t>
      </w:r>
      <w:proofErr w:type="gramStart"/>
      <w:r w:rsidRPr="00295ABA">
        <w:rPr>
          <w:rFonts w:ascii="Verdana" w:eastAsia="Times New Roman" w:hAnsi="Verdana" w:cs="Times New Roman"/>
          <w:color w:val="000000"/>
          <w:sz w:val="18"/>
          <w:szCs w:val="18"/>
          <w:shd w:val="clear" w:color="auto" w:fill="FFFFFF"/>
        </w:rPr>
        <w:t>anti-α antibody</w:t>
      </w:r>
      <w:proofErr w:type="gramEnd"/>
      <w:r w:rsidRPr="00295ABA">
        <w:rPr>
          <w:rFonts w:ascii="Verdana" w:eastAsia="Times New Roman" w:hAnsi="Verdana" w:cs="Times New Roman"/>
          <w:color w:val="000000"/>
          <w:sz w:val="18"/>
          <w:szCs w:val="18"/>
          <w:shd w:val="clear" w:color="auto" w:fill="FFFFFF"/>
        </w:rPr>
        <w:t xml:space="preserve"> immunoblot positivity.</w:t>
      </w:r>
      <w:r w:rsidRPr="00295ABA">
        <w:rPr>
          <w:rFonts w:ascii="Verdana" w:eastAsia="Times New Roman" w:hAnsi="Verdana" w:cs="Times New Roman"/>
          <w:color w:val="000000"/>
          <w:sz w:val="24"/>
          <w:szCs w:val="24"/>
          <w:vertAlign w:val="superscript"/>
        </w:rPr>
        <w:t> </w:t>
      </w:r>
      <w:hyperlink r:id="rId39" w:anchor="ref8" w:history="1">
        <w:r w:rsidRPr="00295ABA">
          <w:rPr>
            <w:rFonts w:ascii="Arial" w:eastAsia="Times New Roman" w:hAnsi="Arial" w:cs="Arial"/>
            <w:color w:val="CC6601"/>
            <w:sz w:val="17"/>
            <w:vertAlign w:val="superscript"/>
          </w:rPr>
          <w:t>[8]</w:t>
        </w:r>
      </w:hyperlink>
      <w:bookmarkEnd w:id="7"/>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Moreover, the anti-F</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c</w:t>
      </w:r>
      <w:r w:rsidRPr="00295ABA">
        <w:rPr>
          <w:rFonts w:ascii="Verdana" w:eastAsia="Times New Roman" w:hAnsi="Verdana" w:cs="Times New Roman"/>
          <w:color w:val="000000"/>
          <w:sz w:val="18"/>
          <w:szCs w:val="18"/>
          <w:shd w:val="clear" w:color="auto" w:fill="FFFFFF"/>
        </w:rPr>
        <w:t>εR</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I</w:t>
      </w:r>
      <w:r w:rsidRPr="00295ABA">
        <w:rPr>
          <w:rFonts w:ascii="Verdana" w:eastAsia="Times New Roman" w:hAnsi="Verdana" w:cs="Times New Roman"/>
          <w:color w:val="000000"/>
          <w:sz w:val="18"/>
          <w:szCs w:val="18"/>
          <w:shd w:val="clear" w:color="auto" w:fill="FFFFFF"/>
        </w:rPr>
        <w:t xml:space="preserve">α autoantibodies found in some other disorders like systemic lupus </w:t>
      </w:r>
      <w:proofErr w:type="gramStart"/>
      <w:r w:rsidRPr="00295ABA">
        <w:rPr>
          <w:rFonts w:ascii="Verdana" w:eastAsia="Times New Roman" w:hAnsi="Verdana" w:cs="Times New Roman"/>
          <w:color w:val="000000"/>
          <w:sz w:val="18"/>
          <w:szCs w:val="18"/>
          <w:shd w:val="clear" w:color="auto" w:fill="FFFFFF"/>
        </w:rPr>
        <w:t>erythematosus(</w:t>
      </w:r>
      <w:proofErr w:type="gramEnd"/>
      <w:r w:rsidRPr="00295ABA">
        <w:rPr>
          <w:rFonts w:ascii="Verdana" w:eastAsia="Times New Roman" w:hAnsi="Verdana" w:cs="Times New Roman"/>
          <w:color w:val="000000"/>
          <w:sz w:val="18"/>
          <w:szCs w:val="18"/>
          <w:shd w:val="clear" w:color="auto" w:fill="FFFFFF"/>
        </w:rPr>
        <w:t>SLE), dermatomyositis and bullous pemphigoid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2</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 xml:space="preserve">, </w:t>
      </w:r>
      <w:r w:rsidRPr="00295ABA">
        <w:rPr>
          <w:rFonts w:ascii="Verdana" w:eastAsia="Times New Roman" w:hAnsi="Verdana" w:cs="Times New Roman"/>
          <w:color w:val="000000"/>
          <w:sz w:val="18"/>
          <w:szCs w:val="18"/>
          <w:shd w:val="clear" w:color="auto" w:fill="FFFFFF"/>
        </w:rPr>
        <w:lastRenderedPageBreak/>
        <w:t>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4</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 are incapable of histamine release from basophils and mast cells.</w:t>
      </w:r>
      <w:r w:rsidRPr="00295ABA">
        <w:rPr>
          <w:rFonts w:ascii="Verdana" w:eastAsia="Times New Roman" w:hAnsi="Verdana" w:cs="Times New Roman"/>
          <w:color w:val="000000"/>
          <w:sz w:val="24"/>
          <w:szCs w:val="24"/>
          <w:vertAlign w:val="superscript"/>
        </w:rPr>
        <w:t> </w:t>
      </w:r>
      <w:hyperlink r:id="rId40" w:anchor="ref10" w:history="1">
        <w:r w:rsidRPr="00295ABA">
          <w:rPr>
            <w:rFonts w:ascii="Arial" w:eastAsia="Times New Roman" w:hAnsi="Arial" w:cs="Arial"/>
            <w:color w:val="CC6601"/>
            <w:sz w:val="17"/>
            <w:vertAlign w:val="superscript"/>
          </w:rPr>
          <w:t>[10]</w:t>
        </w:r>
      </w:hyperlink>
      <w:bookmarkEnd w:id="9"/>
      <w:r w:rsidRPr="00295ABA">
        <w:rPr>
          <w:rFonts w:ascii="Verdana" w:eastAsia="Times New Roman" w:hAnsi="Verdana" w:cs="Times New Roman"/>
          <w:color w:val="000000"/>
          <w:sz w:val="24"/>
          <w:szCs w:val="24"/>
          <w:shd w:val="clear" w:color="auto" w:fill="FFFFFF"/>
          <w:vertAlign w:val="superscript"/>
        </w:rPr>
        <w:t>,</w:t>
      </w:r>
      <w:hyperlink r:id="rId41" w:anchor="ref13" w:history="1">
        <w:r w:rsidRPr="00295ABA">
          <w:rPr>
            <w:rFonts w:ascii="Arial" w:eastAsia="Times New Roman" w:hAnsi="Arial" w:cs="Arial"/>
            <w:color w:val="CC6601"/>
            <w:sz w:val="17"/>
            <w:vertAlign w:val="superscript"/>
          </w:rPr>
          <w:t>[13]</w:t>
        </w:r>
      </w:hyperlink>
      <w:bookmarkEnd w:id="12"/>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Hence, a possibility exists that some patients with AIU have predominant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4</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18"/>
          <w:szCs w:val="18"/>
          <w:shd w:val="clear" w:color="auto" w:fill="FFFFFF"/>
        </w:rPr>
        <w:t>anti-α or IgG</w:t>
      </w:r>
      <w:r w:rsidRPr="00295ABA">
        <w:rPr>
          <w:rFonts w:ascii="Verdana" w:eastAsia="Times New Roman" w:hAnsi="Verdana" w:cs="Times New Roman"/>
          <w:color w:val="000000"/>
          <w:sz w:val="24"/>
          <w:szCs w:val="24"/>
          <w:vertAlign w:val="subscript"/>
        </w:rPr>
        <w:t> </w:t>
      </w:r>
      <w:r w:rsidRPr="00295ABA">
        <w:rPr>
          <w:rFonts w:ascii="Verdana" w:eastAsia="Times New Roman" w:hAnsi="Verdana" w:cs="Times New Roman"/>
          <w:color w:val="000000"/>
          <w:sz w:val="24"/>
          <w:szCs w:val="24"/>
          <w:shd w:val="clear" w:color="auto" w:fill="FFFFFF"/>
          <w:vertAlign w:val="subscript"/>
        </w:rPr>
        <w:t>2</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shd w:val="clear" w:color="auto" w:fill="FFFFFF"/>
        </w:rPr>
        <w:t>anti-α antibodies and thus, they may display ASST negativity. This can be proved or nullified by IgG subclass analytic assays in such patients in future studies.</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This may partially explain the therapeutic response of some ASST-negative patients to AST. This therapeutic modality can be tried in difficult-to-manage patients with CIU even if they are ASST-negative.</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Autoimmune urticaria remains a therapeutic dilemma. Immunosuppressive drugs are useful in some cases. However their use is limited by factors like need for prolonged therapy, related side effects, presence of co-morbid disorders, need for elaborate laboratory testing, regular patient monitoring, and high cost of therapy. AST may be a ray of hope in the management of AIU.</w:t>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rPr>
        <w:br/>
      </w:r>
      <w:r w:rsidRPr="00295ABA">
        <w:rPr>
          <w:rFonts w:ascii="Verdana" w:eastAsia="Times New Roman" w:hAnsi="Verdana" w:cs="Times New Roman"/>
          <w:color w:val="000000"/>
          <w:sz w:val="18"/>
          <w:szCs w:val="18"/>
          <w:shd w:val="clear" w:color="auto" w:fill="FFFFFF"/>
        </w:rPr>
        <w:t> </w:t>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668"/>
        <w:gridCol w:w="313"/>
        <w:gridCol w:w="1409"/>
      </w:tblGrid>
      <w:tr w:rsidR="00295ABA" w:rsidRPr="00295ABA" w:rsidTr="00295ABA">
        <w:trPr>
          <w:tblCellSpacing w:w="0" w:type="dxa"/>
        </w:trPr>
        <w:tc>
          <w:tcPr>
            <w:tcW w:w="0" w:type="auto"/>
            <w:shd w:val="clear" w:color="auto" w:fill="FBF3E3"/>
            <w:vAlign w:val="center"/>
            <w:hideMark/>
          </w:tcPr>
          <w:p w:rsidR="00295ABA" w:rsidRPr="00295ABA" w:rsidRDefault="00295ABA" w:rsidP="00295ABA">
            <w:pPr>
              <w:spacing w:after="0" w:line="270" w:lineRule="atLeast"/>
              <w:rPr>
                <w:rFonts w:ascii="Verdana" w:eastAsia="Times New Roman" w:hAnsi="Verdana" w:cs="Times New Roman"/>
                <w:b/>
                <w:bCs/>
                <w:color w:val="004080"/>
                <w:sz w:val="21"/>
                <w:szCs w:val="21"/>
              </w:rPr>
            </w:pPr>
            <w:bookmarkStart w:id="21" w:name="Reference"/>
            <w:bookmarkEnd w:id="21"/>
            <w:r w:rsidRPr="00295ABA">
              <w:rPr>
                <w:rFonts w:ascii="Verdana" w:eastAsia="Times New Roman" w:hAnsi="Verdana" w:cs="Times New Roman"/>
                <w:b/>
                <w:bCs/>
                <w:color w:val="004080"/>
                <w:sz w:val="21"/>
                <w:szCs w:val="21"/>
              </w:rPr>
              <w:t>  References</w:t>
            </w:r>
          </w:p>
        </w:tc>
        <w:tc>
          <w:tcPr>
            <w:tcW w:w="0" w:type="auto"/>
            <w:shd w:val="clear" w:color="auto" w:fill="FBF3E3"/>
            <w:vAlign w:val="center"/>
            <w:hideMark/>
          </w:tcPr>
          <w:p w:rsidR="00295ABA" w:rsidRPr="00295ABA" w:rsidRDefault="00295ABA" w:rsidP="00295ABA">
            <w:pPr>
              <w:spacing w:after="0" w:line="270" w:lineRule="atLeast"/>
              <w:jc w:val="right"/>
              <w:rPr>
                <w:rFonts w:ascii="Verdana" w:eastAsia="Times New Roman" w:hAnsi="Verdana" w:cs="Times New Roman"/>
                <w:color w:val="7E7E7E"/>
                <w:sz w:val="17"/>
                <w:szCs w:val="17"/>
              </w:rPr>
            </w:pPr>
            <w:r w:rsidRPr="00295ABA">
              <w:rPr>
                <w:rFonts w:ascii="Verdana" w:eastAsia="Times New Roman" w:hAnsi="Verdana" w:cs="Times New Roman"/>
                <w:color w:val="7E7E7E"/>
                <w:sz w:val="17"/>
                <w:szCs w:val="17"/>
              </w:rPr>
              <w:t> </w:t>
            </w:r>
          </w:p>
        </w:tc>
        <w:tc>
          <w:tcPr>
            <w:tcW w:w="750" w:type="pct"/>
            <w:shd w:val="clear" w:color="auto" w:fill="FBF3E3"/>
            <w:vAlign w:val="center"/>
            <w:hideMark/>
          </w:tcPr>
          <w:p w:rsidR="00295ABA" w:rsidRPr="00295ABA" w:rsidRDefault="00295ABA" w:rsidP="00295ABA">
            <w:pPr>
              <w:spacing w:after="0" w:line="270" w:lineRule="atLeast"/>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5" name="Picture 5" descr="Top">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p">
                            <a:hlinkClick r:id="rId42"/>
                          </pic:cNvPr>
                          <pic:cNvPicPr>
                            <a:picLocks noChangeAspect="1" noChangeArrowheads="1"/>
                          </pic:cNvPicPr>
                        </pic:nvPicPr>
                        <pic:blipFill>
                          <a:blip r:embed="rId43"/>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295ABA" w:rsidRPr="00295ABA" w:rsidRDefault="00295ABA" w:rsidP="00295ABA">
      <w:pPr>
        <w:spacing w:after="0" w:line="240" w:lineRule="auto"/>
        <w:rPr>
          <w:rFonts w:ascii="Times New Roman" w:eastAsia="Times New Roman" w:hAnsi="Times New Roman" w:cs="Times New Roman"/>
          <w:sz w:val="24"/>
          <w:szCs w:val="24"/>
        </w:rPr>
      </w:pPr>
    </w:p>
    <w:tbl>
      <w:tblPr>
        <w:tblW w:w="5000" w:type="pct"/>
        <w:tblCellSpacing w:w="0" w:type="dxa"/>
        <w:shd w:val="clear" w:color="auto" w:fill="FFFFFF"/>
        <w:tblCellMar>
          <w:left w:w="0" w:type="dxa"/>
          <w:right w:w="0" w:type="dxa"/>
        </w:tblCellMar>
        <w:tblLook w:val="04A0"/>
      </w:tblPr>
      <w:tblGrid>
        <w:gridCol w:w="468"/>
        <w:gridCol w:w="8892"/>
      </w:tblGrid>
      <w:tr w:rsidR="00295ABA" w:rsidRPr="00295ABA" w:rsidTr="00295ABA">
        <w:trPr>
          <w:tblCellSpacing w:w="0" w:type="dxa"/>
        </w:trPr>
        <w:tc>
          <w:tcPr>
            <w:tcW w:w="250" w:type="pct"/>
            <w:shd w:val="clear" w:color="auto" w:fill="FFFFFF"/>
            <w:hideMark/>
          </w:tcPr>
          <w:bookmarkStart w:id="22" w:name="ref1"/>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w:t>
            </w:r>
            <w:r w:rsidRPr="00295ABA">
              <w:rPr>
                <w:rFonts w:ascii="Verdana" w:eastAsia="Times New Roman" w:hAnsi="Verdana" w:cs="Times New Roman"/>
                <w:color w:val="000000"/>
                <w:sz w:val="18"/>
                <w:szCs w:val="18"/>
              </w:rPr>
              <w:fldChar w:fldCharType="end"/>
            </w:r>
            <w:bookmarkEnd w:id="22"/>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Greaves M. Chronic idiopathic urticaria. Curr Opin Allergy Clin Immunol 2003</w:t>
            </w:r>
            <w:proofErr w:type="gramStart"/>
            <w:r w:rsidRPr="00295ABA">
              <w:rPr>
                <w:rFonts w:ascii="Verdana" w:eastAsia="Times New Roman" w:hAnsi="Verdana" w:cs="Times New Roman"/>
                <w:color w:val="000000"/>
                <w:sz w:val="18"/>
                <w:szCs w:val="18"/>
              </w:rPr>
              <w:t>;3:363</w:t>
            </w:r>
            <w:proofErr w:type="gramEnd"/>
            <w:r w:rsidRPr="00295ABA">
              <w:rPr>
                <w:rFonts w:ascii="Verdana" w:eastAsia="Times New Roman" w:hAnsi="Verdana" w:cs="Times New Roman"/>
                <w:color w:val="000000"/>
                <w:sz w:val="18"/>
                <w:szCs w:val="18"/>
              </w:rPr>
              <w:t>-8.  </w:t>
            </w:r>
            <w:r>
              <w:rPr>
                <w:rFonts w:ascii="Arial" w:eastAsia="Times New Roman" w:hAnsi="Arial" w:cs="Arial"/>
                <w:noProof/>
                <w:color w:val="004080"/>
                <w:sz w:val="18"/>
                <w:szCs w:val="18"/>
              </w:rPr>
              <w:drawing>
                <wp:inline distT="0" distB="0" distL="0" distR="0">
                  <wp:extent cx="95250" cy="95250"/>
                  <wp:effectExtent l="19050" t="0" r="0" b="0"/>
                  <wp:docPr id="6" name="Picture 6" descr="Back to cited text no. 1">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ack to cited text no. 1">
                            <a:hlinkClick r:id="rId44"/>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23" w:name="ref2"/>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"ft2"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2.</w:t>
            </w:r>
            <w:r w:rsidRPr="00295ABA">
              <w:rPr>
                <w:rFonts w:ascii="Verdana" w:eastAsia="Times New Roman" w:hAnsi="Verdana" w:cs="Times New Roman"/>
                <w:color w:val="000000"/>
                <w:sz w:val="18"/>
                <w:szCs w:val="18"/>
              </w:rPr>
              <w:fldChar w:fldCharType="end"/>
            </w:r>
            <w:bookmarkEnd w:id="23"/>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Soundararajan S, Kikuchi Y, Joseph K, Kaplan AP. Functional assessment of pathogenic IgG subclasses in chronic autoimmune urticaria. J Allergy Clin Immunol 2005</w:t>
            </w:r>
            <w:proofErr w:type="gramStart"/>
            <w:r w:rsidRPr="00295ABA">
              <w:rPr>
                <w:rFonts w:ascii="Verdana" w:eastAsia="Times New Roman" w:hAnsi="Verdana" w:cs="Times New Roman"/>
                <w:color w:val="000000"/>
                <w:sz w:val="18"/>
                <w:szCs w:val="18"/>
              </w:rPr>
              <w:t>;115:815</w:t>
            </w:r>
            <w:proofErr w:type="gramEnd"/>
            <w:r w:rsidRPr="00295ABA">
              <w:rPr>
                <w:rFonts w:ascii="Verdana" w:eastAsia="Times New Roman" w:hAnsi="Verdana" w:cs="Times New Roman"/>
                <w:color w:val="000000"/>
                <w:sz w:val="18"/>
                <w:szCs w:val="18"/>
              </w:rPr>
              <w:t>-21.  </w:t>
            </w:r>
            <w:r>
              <w:rPr>
                <w:rFonts w:ascii="Arial" w:eastAsia="Times New Roman" w:hAnsi="Arial" w:cs="Arial"/>
                <w:noProof/>
                <w:color w:val="004080"/>
                <w:sz w:val="18"/>
                <w:szCs w:val="18"/>
              </w:rPr>
              <w:drawing>
                <wp:inline distT="0" distB="0" distL="0" distR="0">
                  <wp:extent cx="95250" cy="95250"/>
                  <wp:effectExtent l="19050" t="0" r="0" b="0"/>
                  <wp:docPr id="7" name="Picture 7" descr="Back to cited text no. 2">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ack to cited text no. 2">
                            <a:hlinkClick r:id="rId46"/>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24" w:name="ref3"/>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"ft3"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3.</w:t>
            </w:r>
            <w:r w:rsidRPr="00295ABA">
              <w:rPr>
                <w:rFonts w:ascii="Verdana" w:eastAsia="Times New Roman" w:hAnsi="Verdana" w:cs="Times New Roman"/>
                <w:color w:val="000000"/>
                <w:sz w:val="18"/>
                <w:szCs w:val="18"/>
              </w:rPr>
              <w:fldChar w:fldCharType="end"/>
            </w:r>
            <w:bookmarkEnd w:id="24"/>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Pachlopnik JM, Horn MP, Fux M, Dahinden M, Mandallaz M, Schneeberger D,</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rPr>
              <w:t>et al</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t>. Natural anti-Fcepsilon RIalpha autoantibodies may interfere with diagnostic tests for autoimmune urticaria. J Autoimmun 2004</w:t>
            </w:r>
            <w:proofErr w:type="gramStart"/>
            <w:r w:rsidRPr="00295ABA">
              <w:rPr>
                <w:rFonts w:ascii="Verdana" w:eastAsia="Times New Roman" w:hAnsi="Verdana" w:cs="Times New Roman"/>
                <w:color w:val="000000"/>
                <w:sz w:val="18"/>
                <w:szCs w:val="18"/>
              </w:rPr>
              <w:t>;22:43</w:t>
            </w:r>
            <w:proofErr w:type="gramEnd"/>
            <w:r w:rsidRPr="00295ABA">
              <w:rPr>
                <w:rFonts w:ascii="Verdana" w:eastAsia="Times New Roman" w:hAnsi="Verdana" w:cs="Times New Roman"/>
                <w:color w:val="000000"/>
                <w:sz w:val="18"/>
                <w:szCs w:val="18"/>
              </w:rPr>
              <w:t>-51.  </w:t>
            </w:r>
            <w:r>
              <w:rPr>
                <w:rFonts w:ascii="Arial" w:eastAsia="Times New Roman" w:hAnsi="Arial" w:cs="Arial"/>
                <w:noProof/>
                <w:color w:val="004080"/>
                <w:sz w:val="18"/>
                <w:szCs w:val="18"/>
              </w:rPr>
              <w:drawing>
                <wp:inline distT="0" distB="0" distL="0" distR="0">
                  <wp:extent cx="95250" cy="95250"/>
                  <wp:effectExtent l="19050" t="0" r="0" b="0"/>
                  <wp:docPr id="8" name="Picture 8" descr="Back to cited text no. 3">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ack to cited text no. 3">
                            <a:hlinkClick r:id="rId47"/>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25" w:name="ref4"/>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"ft4"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4.</w:t>
            </w:r>
            <w:r w:rsidRPr="00295ABA">
              <w:rPr>
                <w:rFonts w:ascii="Verdana" w:eastAsia="Times New Roman" w:hAnsi="Verdana" w:cs="Times New Roman"/>
                <w:color w:val="000000"/>
                <w:sz w:val="18"/>
                <w:szCs w:val="18"/>
              </w:rPr>
              <w:fldChar w:fldCharType="end"/>
            </w:r>
            <w:bookmarkEnd w:id="25"/>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Godse KV. Autologous serum skin test in chronic idiopathic urticaria. Indian J Dermatol Venereol Leprol 2004; 70:283-4.  </w:t>
            </w:r>
            <w:r>
              <w:rPr>
                <w:rFonts w:ascii="Arial" w:eastAsia="Times New Roman" w:hAnsi="Arial" w:cs="Arial"/>
                <w:noProof/>
                <w:color w:val="004080"/>
                <w:sz w:val="18"/>
                <w:szCs w:val="18"/>
              </w:rPr>
              <w:drawing>
                <wp:inline distT="0" distB="0" distL="0" distR="0">
                  <wp:extent cx="95250" cy="95250"/>
                  <wp:effectExtent l="19050" t="0" r="0" b="0"/>
                  <wp:docPr id="9" name="Picture 9" descr="Back to cited text no. 4">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ack to cited text no. 4">
                            <a:hlinkClick r:id="rId48"/>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26" w:name="ref5"/>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"ft5"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5.</w:t>
            </w:r>
            <w:r w:rsidRPr="00295ABA">
              <w:rPr>
                <w:rFonts w:ascii="Verdana" w:eastAsia="Times New Roman" w:hAnsi="Verdana" w:cs="Times New Roman"/>
                <w:color w:val="000000"/>
                <w:sz w:val="18"/>
                <w:szCs w:val="18"/>
              </w:rPr>
              <w:fldChar w:fldCharType="end"/>
            </w:r>
            <w:bookmarkEnd w:id="26"/>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Mamatha G, Balachandran C, Smitha P. Chronic idiopathic urticaria: Comparison of clinical features with positive autologous serum sensitivity test. Indian J Dermatol Venereol Leprol 2008</w:t>
            </w:r>
            <w:proofErr w:type="gramStart"/>
            <w:r w:rsidRPr="00295ABA">
              <w:rPr>
                <w:rFonts w:ascii="Verdana" w:eastAsia="Times New Roman" w:hAnsi="Verdana" w:cs="Times New Roman"/>
                <w:color w:val="000000"/>
                <w:sz w:val="18"/>
                <w:szCs w:val="18"/>
              </w:rPr>
              <w:t>;74:105</w:t>
            </w:r>
            <w:proofErr w:type="gramEnd"/>
            <w:r w:rsidRPr="00295ABA">
              <w:rPr>
                <w:rFonts w:ascii="Verdana" w:eastAsia="Times New Roman" w:hAnsi="Verdana" w:cs="Times New Roman"/>
                <w:color w:val="000000"/>
                <w:sz w:val="18"/>
                <w:szCs w:val="18"/>
              </w:rPr>
              <w:t>-8.  </w:t>
            </w:r>
            <w:r>
              <w:rPr>
                <w:rFonts w:ascii="Arial" w:eastAsia="Times New Roman" w:hAnsi="Arial" w:cs="Arial"/>
                <w:noProof/>
                <w:color w:val="004080"/>
                <w:sz w:val="18"/>
                <w:szCs w:val="18"/>
              </w:rPr>
              <w:drawing>
                <wp:inline distT="0" distB="0" distL="0" distR="0">
                  <wp:extent cx="95250" cy="95250"/>
                  <wp:effectExtent l="19050" t="0" r="0" b="0"/>
                  <wp:docPr id="10" name="Picture 10" descr="Back to cited text no. 5">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ack to cited text no. 5">
                            <a:hlinkClick r:id="rId49"/>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27" w:name="ref6"/>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"ft6"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6.</w:t>
            </w:r>
            <w:r w:rsidRPr="00295ABA">
              <w:rPr>
                <w:rFonts w:ascii="Verdana" w:eastAsia="Times New Roman" w:hAnsi="Verdana" w:cs="Times New Roman"/>
                <w:color w:val="000000"/>
                <w:sz w:val="18"/>
                <w:szCs w:val="18"/>
              </w:rPr>
              <w:fldChar w:fldCharType="end"/>
            </w:r>
            <w:bookmarkEnd w:id="27"/>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Bajaj AK, Saraswat A, Upadhyay A, Damisetty R, Dhar S. Autologous serum therapy in chronic urticaria: Old wine in a new bottle. Indian J Dermatol Venereol Leprol 2008</w:t>
            </w:r>
            <w:proofErr w:type="gramStart"/>
            <w:r w:rsidRPr="00295ABA">
              <w:rPr>
                <w:rFonts w:ascii="Verdana" w:eastAsia="Times New Roman" w:hAnsi="Verdana" w:cs="Times New Roman"/>
                <w:color w:val="000000"/>
                <w:sz w:val="18"/>
                <w:szCs w:val="18"/>
              </w:rPr>
              <w:t>;74:109</w:t>
            </w:r>
            <w:proofErr w:type="gramEnd"/>
            <w:r w:rsidRPr="00295ABA">
              <w:rPr>
                <w:rFonts w:ascii="Verdana" w:eastAsia="Times New Roman" w:hAnsi="Verdana" w:cs="Times New Roman"/>
                <w:color w:val="000000"/>
                <w:sz w:val="18"/>
                <w:szCs w:val="18"/>
              </w:rPr>
              <w:t>-13.  </w:t>
            </w:r>
            <w:r>
              <w:rPr>
                <w:rFonts w:ascii="Arial" w:eastAsia="Times New Roman" w:hAnsi="Arial" w:cs="Arial"/>
                <w:noProof/>
                <w:color w:val="004080"/>
                <w:sz w:val="18"/>
                <w:szCs w:val="18"/>
              </w:rPr>
              <w:drawing>
                <wp:inline distT="0" distB="0" distL="0" distR="0">
                  <wp:extent cx="95250" cy="95250"/>
                  <wp:effectExtent l="19050" t="0" r="0" b="0"/>
                  <wp:docPr id="11" name="Picture 11" descr="Back to cited text no. 6">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ack to cited text no. 6">
                            <a:hlinkClick r:id="rId50"/>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28" w:name="ref7"/>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"ft7"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7.</w:t>
            </w:r>
            <w:r w:rsidRPr="00295ABA">
              <w:rPr>
                <w:rFonts w:ascii="Verdana" w:eastAsia="Times New Roman" w:hAnsi="Verdana" w:cs="Times New Roman"/>
                <w:color w:val="000000"/>
                <w:sz w:val="18"/>
                <w:szCs w:val="18"/>
              </w:rPr>
              <w:fldChar w:fldCharType="end"/>
            </w:r>
            <w:bookmarkEnd w:id="28"/>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Caproni M, Volpi W, Giomi B, Cardinali C, Antiga E, Melani L,</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rPr>
              <w:t>et al</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t>. Chronic idiopathic and chronic autoimmune urticaria: Clinical and immunopathological features of 68 subjects. Acta Derm Venereol 2004</w:t>
            </w:r>
            <w:proofErr w:type="gramStart"/>
            <w:r w:rsidRPr="00295ABA">
              <w:rPr>
                <w:rFonts w:ascii="Verdana" w:eastAsia="Times New Roman" w:hAnsi="Verdana" w:cs="Times New Roman"/>
                <w:color w:val="000000"/>
                <w:sz w:val="18"/>
                <w:szCs w:val="18"/>
              </w:rPr>
              <w:t>;84:288</w:t>
            </w:r>
            <w:proofErr w:type="gramEnd"/>
            <w:r w:rsidRPr="00295ABA">
              <w:rPr>
                <w:rFonts w:ascii="Verdana" w:eastAsia="Times New Roman" w:hAnsi="Verdana" w:cs="Times New Roman"/>
                <w:color w:val="000000"/>
                <w:sz w:val="18"/>
                <w:szCs w:val="18"/>
              </w:rPr>
              <w:t>-90.  </w:t>
            </w:r>
            <w:r>
              <w:rPr>
                <w:rFonts w:ascii="Arial" w:eastAsia="Times New Roman" w:hAnsi="Arial" w:cs="Arial"/>
                <w:noProof/>
                <w:color w:val="004080"/>
                <w:sz w:val="18"/>
                <w:szCs w:val="18"/>
              </w:rPr>
              <w:drawing>
                <wp:inline distT="0" distB="0" distL="0" distR="0">
                  <wp:extent cx="95250" cy="95250"/>
                  <wp:effectExtent l="19050" t="0" r="0" b="0"/>
                  <wp:docPr id="12" name="Picture 12" descr="Back to cited text no. 7">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ack to cited text no. 7">
                            <a:hlinkClick r:id="rId51"/>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29" w:name="ref8"/>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"ft8"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8.</w:t>
            </w:r>
            <w:r w:rsidRPr="00295ABA">
              <w:rPr>
                <w:rFonts w:ascii="Verdana" w:eastAsia="Times New Roman" w:hAnsi="Verdana" w:cs="Times New Roman"/>
                <w:color w:val="000000"/>
                <w:sz w:val="18"/>
                <w:szCs w:val="18"/>
              </w:rPr>
              <w:fldChar w:fldCharType="end"/>
            </w:r>
            <w:bookmarkEnd w:id="29"/>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Kaplan AP. Chronic urticaria: Pathogenesis and treatment. J Allergy Clin Immunol 2004</w:t>
            </w:r>
            <w:proofErr w:type="gramStart"/>
            <w:r w:rsidRPr="00295ABA">
              <w:rPr>
                <w:rFonts w:ascii="Verdana" w:eastAsia="Times New Roman" w:hAnsi="Verdana" w:cs="Times New Roman"/>
                <w:color w:val="000000"/>
                <w:sz w:val="18"/>
                <w:szCs w:val="18"/>
              </w:rPr>
              <w:t>;114:465</w:t>
            </w:r>
            <w:proofErr w:type="gramEnd"/>
            <w:r w:rsidRPr="00295ABA">
              <w:rPr>
                <w:rFonts w:ascii="Verdana" w:eastAsia="Times New Roman" w:hAnsi="Verdana" w:cs="Times New Roman"/>
                <w:color w:val="000000"/>
                <w:sz w:val="18"/>
                <w:szCs w:val="18"/>
              </w:rPr>
              <w:t>-74.  </w:t>
            </w:r>
            <w:r>
              <w:rPr>
                <w:rFonts w:ascii="Arial" w:eastAsia="Times New Roman" w:hAnsi="Arial" w:cs="Arial"/>
                <w:noProof/>
                <w:color w:val="004080"/>
                <w:sz w:val="18"/>
                <w:szCs w:val="18"/>
              </w:rPr>
              <w:drawing>
                <wp:inline distT="0" distB="0" distL="0" distR="0">
                  <wp:extent cx="95250" cy="95250"/>
                  <wp:effectExtent l="19050" t="0" r="0" b="0"/>
                  <wp:docPr id="13" name="Picture 13" descr="Back to cited text no. 8">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ack to cited text no. 8">
                            <a:hlinkClick r:id="rId52"/>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30" w:name="ref9"/>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"ft9"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9.</w:t>
            </w:r>
            <w:r w:rsidRPr="00295ABA">
              <w:rPr>
                <w:rFonts w:ascii="Verdana" w:eastAsia="Times New Roman" w:hAnsi="Verdana" w:cs="Times New Roman"/>
                <w:color w:val="000000"/>
                <w:sz w:val="18"/>
                <w:szCs w:val="18"/>
              </w:rPr>
              <w:fldChar w:fldCharType="end"/>
            </w:r>
            <w:bookmarkEnd w:id="30"/>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Bakos N, Hillander M. Comparison of chronic autoimmune urticaria with chronic idiopathic urticaria. Int J Dermatol 2003</w:t>
            </w:r>
            <w:proofErr w:type="gramStart"/>
            <w:r w:rsidRPr="00295ABA">
              <w:rPr>
                <w:rFonts w:ascii="Verdana" w:eastAsia="Times New Roman" w:hAnsi="Verdana" w:cs="Times New Roman"/>
                <w:color w:val="000000"/>
                <w:sz w:val="18"/>
                <w:szCs w:val="18"/>
              </w:rPr>
              <w:t>;42:613</w:t>
            </w:r>
            <w:proofErr w:type="gramEnd"/>
            <w:r w:rsidRPr="00295ABA">
              <w:rPr>
                <w:rFonts w:ascii="Verdana" w:eastAsia="Times New Roman" w:hAnsi="Verdana" w:cs="Times New Roman"/>
                <w:color w:val="000000"/>
                <w:sz w:val="18"/>
                <w:szCs w:val="18"/>
              </w:rPr>
              <w:t>-5.  </w:t>
            </w:r>
            <w:r>
              <w:rPr>
                <w:rFonts w:ascii="Arial" w:eastAsia="Times New Roman" w:hAnsi="Arial" w:cs="Arial"/>
                <w:noProof/>
                <w:color w:val="004080"/>
                <w:sz w:val="18"/>
                <w:szCs w:val="18"/>
              </w:rPr>
              <w:drawing>
                <wp:inline distT="0" distB="0" distL="0" distR="0">
                  <wp:extent cx="95250" cy="95250"/>
                  <wp:effectExtent l="19050" t="0" r="0" b="0"/>
                  <wp:docPr id="14" name="Picture 14" descr="Back to cited text no. 9">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ack to cited text no. 9">
                            <a:hlinkClick r:id="rId53"/>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31" w:name="ref10"/>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"ft10"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10.</w:t>
            </w:r>
            <w:r w:rsidRPr="00295ABA">
              <w:rPr>
                <w:rFonts w:ascii="Verdana" w:eastAsia="Times New Roman" w:hAnsi="Verdana" w:cs="Times New Roman"/>
                <w:color w:val="000000"/>
                <w:sz w:val="18"/>
                <w:szCs w:val="18"/>
              </w:rPr>
              <w:fldChar w:fldCharType="end"/>
            </w:r>
            <w:bookmarkEnd w:id="31"/>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Grattan CE, Sabroe RA, Greaves MW. Chronic urticaria. J Am Acad Dermatol 2002</w:t>
            </w:r>
            <w:proofErr w:type="gramStart"/>
            <w:r w:rsidRPr="00295ABA">
              <w:rPr>
                <w:rFonts w:ascii="Verdana" w:eastAsia="Times New Roman" w:hAnsi="Verdana" w:cs="Times New Roman"/>
                <w:color w:val="000000"/>
                <w:sz w:val="18"/>
                <w:szCs w:val="18"/>
              </w:rPr>
              <w:t>;46:645</w:t>
            </w:r>
            <w:proofErr w:type="gramEnd"/>
            <w:r w:rsidRPr="00295ABA">
              <w:rPr>
                <w:rFonts w:ascii="Verdana" w:eastAsia="Times New Roman" w:hAnsi="Verdana" w:cs="Times New Roman"/>
                <w:color w:val="000000"/>
                <w:sz w:val="18"/>
                <w:szCs w:val="18"/>
              </w:rPr>
              <w:t>-57.  </w:t>
            </w:r>
            <w:r>
              <w:rPr>
                <w:rFonts w:ascii="Arial" w:eastAsia="Times New Roman" w:hAnsi="Arial" w:cs="Arial"/>
                <w:noProof/>
                <w:color w:val="004080"/>
                <w:sz w:val="18"/>
                <w:szCs w:val="18"/>
              </w:rPr>
              <w:drawing>
                <wp:inline distT="0" distB="0" distL="0" distR="0">
                  <wp:extent cx="95250" cy="95250"/>
                  <wp:effectExtent l="19050" t="0" r="0" b="0"/>
                  <wp:docPr id="15" name="Picture 15" descr="Back to cited text no. 10">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ack to cited text no. 10">
                            <a:hlinkClick r:id="rId54"/>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32" w:name="ref11"/>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"ft11"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11.</w:t>
            </w:r>
            <w:r w:rsidRPr="00295ABA">
              <w:rPr>
                <w:rFonts w:ascii="Verdana" w:eastAsia="Times New Roman" w:hAnsi="Verdana" w:cs="Times New Roman"/>
                <w:color w:val="000000"/>
                <w:sz w:val="18"/>
                <w:szCs w:val="18"/>
              </w:rPr>
              <w:fldChar w:fldCharType="end"/>
            </w:r>
            <w:bookmarkEnd w:id="32"/>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Grattan CE, Walpole D, Francis DM, Niimi N, Dootson G, Edler S,</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rPr>
              <w:t>et al</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t>. Flow cytometric analysis of basophil numbers in chronic urticaria: Basopenia is related to serum histamine releasing activity. Clin Exp Allergy 1997</w:t>
            </w:r>
            <w:proofErr w:type="gramStart"/>
            <w:r w:rsidRPr="00295ABA">
              <w:rPr>
                <w:rFonts w:ascii="Verdana" w:eastAsia="Times New Roman" w:hAnsi="Verdana" w:cs="Times New Roman"/>
                <w:color w:val="000000"/>
                <w:sz w:val="18"/>
                <w:szCs w:val="18"/>
              </w:rPr>
              <w:t>;27:1417</w:t>
            </w:r>
            <w:proofErr w:type="gramEnd"/>
            <w:r w:rsidRPr="00295ABA">
              <w:rPr>
                <w:rFonts w:ascii="Verdana" w:eastAsia="Times New Roman" w:hAnsi="Verdana" w:cs="Times New Roman"/>
                <w:color w:val="000000"/>
                <w:sz w:val="18"/>
                <w:szCs w:val="18"/>
              </w:rPr>
              <w:t>-24.  </w:t>
            </w:r>
            <w:r>
              <w:rPr>
                <w:rFonts w:ascii="Arial" w:eastAsia="Times New Roman" w:hAnsi="Arial" w:cs="Arial"/>
                <w:noProof/>
                <w:color w:val="004080"/>
                <w:sz w:val="18"/>
                <w:szCs w:val="18"/>
              </w:rPr>
              <w:drawing>
                <wp:inline distT="0" distB="0" distL="0" distR="0">
                  <wp:extent cx="95250" cy="95250"/>
                  <wp:effectExtent l="19050" t="0" r="0" b="0"/>
                  <wp:docPr id="16" name="Picture 16" descr="Back to cited text no. 11">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ack to cited text no. 11">
                            <a:hlinkClick r:id="rId55"/>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33" w:name="ref12"/>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"ft12"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12.</w:t>
            </w:r>
            <w:r w:rsidRPr="00295ABA">
              <w:rPr>
                <w:rFonts w:ascii="Verdana" w:eastAsia="Times New Roman" w:hAnsi="Verdana" w:cs="Times New Roman"/>
                <w:color w:val="000000"/>
                <w:sz w:val="18"/>
                <w:szCs w:val="18"/>
              </w:rPr>
              <w:fldChar w:fldCharType="end"/>
            </w:r>
            <w:bookmarkEnd w:id="33"/>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Gyμmesi E, Sipka S, Dankó K, Kiss E, Hνdvιgi B, Gαl M,</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rPr>
              <w:t>et al</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t>. Basophil CD63 expression assay on highly sensitized atopic donor leucocytes: A useful method in chronic autoimmune urticaria. Br J Dermatol 2004</w:t>
            </w:r>
            <w:proofErr w:type="gramStart"/>
            <w:r w:rsidRPr="00295ABA">
              <w:rPr>
                <w:rFonts w:ascii="Verdana" w:eastAsia="Times New Roman" w:hAnsi="Verdana" w:cs="Times New Roman"/>
                <w:color w:val="000000"/>
                <w:sz w:val="18"/>
                <w:szCs w:val="18"/>
              </w:rPr>
              <w:t>;151:388</w:t>
            </w:r>
            <w:proofErr w:type="gramEnd"/>
            <w:r w:rsidRPr="00295ABA">
              <w:rPr>
                <w:rFonts w:ascii="Verdana" w:eastAsia="Times New Roman" w:hAnsi="Verdana" w:cs="Times New Roman"/>
                <w:color w:val="000000"/>
                <w:sz w:val="18"/>
                <w:szCs w:val="18"/>
              </w:rPr>
              <w:t>-96.  </w:t>
            </w:r>
            <w:r>
              <w:rPr>
                <w:rFonts w:ascii="Arial" w:eastAsia="Times New Roman" w:hAnsi="Arial" w:cs="Arial"/>
                <w:noProof/>
                <w:color w:val="004080"/>
                <w:sz w:val="18"/>
                <w:szCs w:val="18"/>
              </w:rPr>
              <w:drawing>
                <wp:inline distT="0" distB="0" distL="0" distR="0">
                  <wp:extent cx="95250" cy="95250"/>
                  <wp:effectExtent l="19050" t="0" r="0" b="0"/>
                  <wp:docPr id="17" name="Picture 17" descr="Back to cited text no. 12">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Back to cited text no. 12">
                            <a:hlinkClick r:id="rId56"/>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34" w:name="ref13"/>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"ft13"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13.</w:t>
            </w:r>
            <w:r w:rsidRPr="00295ABA">
              <w:rPr>
                <w:rFonts w:ascii="Verdana" w:eastAsia="Times New Roman" w:hAnsi="Verdana" w:cs="Times New Roman"/>
                <w:color w:val="000000"/>
                <w:sz w:val="18"/>
                <w:szCs w:val="18"/>
              </w:rPr>
              <w:fldChar w:fldCharType="end"/>
            </w:r>
            <w:bookmarkEnd w:id="34"/>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Kozel MM, Sabroe RA. Chronic urticaria: Aetiology, management and current and future management options. Drugs 2004</w:t>
            </w:r>
            <w:proofErr w:type="gramStart"/>
            <w:r w:rsidRPr="00295ABA">
              <w:rPr>
                <w:rFonts w:ascii="Verdana" w:eastAsia="Times New Roman" w:hAnsi="Verdana" w:cs="Times New Roman"/>
                <w:color w:val="000000"/>
                <w:sz w:val="18"/>
                <w:szCs w:val="18"/>
              </w:rPr>
              <w:t>;64:2515</w:t>
            </w:r>
            <w:proofErr w:type="gramEnd"/>
            <w:r w:rsidRPr="00295ABA">
              <w:rPr>
                <w:rFonts w:ascii="Verdana" w:eastAsia="Times New Roman" w:hAnsi="Verdana" w:cs="Times New Roman"/>
                <w:color w:val="000000"/>
                <w:sz w:val="18"/>
                <w:szCs w:val="18"/>
              </w:rPr>
              <w:t>-36.  </w:t>
            </w:r>
            <w:r>
              <w:rPr>
                <w:rFonts w:ascii="Arial" w:eastAsia="Times New Roman" w:hAnsi="Arial" w:cs="Arial"/>
                <w:noProof/>
                <w:color w:val="004080"/>
                <w:sz w:val="18"/>
                <w:szCs w:val="18"/>
              </w:rPr>
              <w:drawing>
                <wp:inline distT="0" distB="0" distL="0" distR="0">
                  <wp:extent cx="95250" cy="95250"/>
                  <wp:effectExtent l="19050" t="0" r="0" b="0"/>
                  <wp:docPr id="18" name="Picture 18" descr="Back to cited text no. 13">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Back to cited text no. 13">
                            <a:hlinkClick r:id="rId57"/>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35" w:name="ref14"/>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"ft14"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14.</w:t>
            </w:r>
            <w:r w:rsidRPr="00295ABA">
              <w:rPr>
                <w:rFonts w:ascii="Verdana" w:eastAsia="Times New Roman" w:hAnsi="Verdana" w:cs="Times New Roman"/>
                <w:color w:val="000000"/>
                <w:sz w:val="18"/>
                <w:szCs w:val="18"/>
              </w:rPr>
              <w:fldChar w:fldCharType="end"/>
            </w:r>
            <w:bookmarkEnd w:id="35"/>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Godse KV. Oral montelukast monotherapy is ineffective in chronic idiopathic urticaria: A comparison with oral cetirizine. Indian J Dermatol Venereol Leprol 2006; 72:312-14.  </w:t>
            </w:r>
            <w:r>
              <w:rPr>
                <w:rFonts w:ascii="Arial" w:eastAsia="Times New Roman" w:hAnsi="Arial" w:cs="Arial"/>
                <w:noProof/>
                <w:color w:val="004080"/>
                <w:sz w:val="18"/>
                <w:szCs w:val="18"/>
              </w:rPr>
              <w:drawing>
                <wp:inline distT="0" distB="0" distL="0" distR="0">
                  <wp:extent cx="95250" cy="95250"/>
                  <wp:effectExtent l="19050" t="0" r="0" b="0"/>
                  <wp:docPr id="19" name="Picture 19" descr="Back to cited text no. 14">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ack to cited text no. 14">
                            <a:hlinkClick r:id="rId58"/>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36" w:name="ref15"/>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"ft15"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15.</w:t>
            </w:r>
            <w:r w:rsidRPr="00295ABA">
              <w:rPr>
                <w:rFonts w:ascii="Verdana" w:eastAsia="Times New Roman" w:hAnsi="Verdana" w:cs="Times New Roman"/>
                <w:color w:val="000000"/>
                <w:sz w:val="18"/>
                <w:szCs w:val="18"/>
              </w:rPr>
              <w:fldChar w:fldCharType="end"/>
            </w:r>
            <w:bookmarkEnd w:id="36"/>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Greaves M. Chronic urticaria. J Allergy Clin Immunol 2000</w:t>
            </w:r>
            <w:proofErr w:type="gramStart"/>
            <w:r w:rsidRPr="00295ABA">
              <w:rPr>
                <w:rFonts w:ascii="Verdana" w:eastAsia="Times New Roman" w:hAnsi="Verdana" w:cs="Times New Roman"/>
                <w:color w:val="000000"/>
                <w:sz w:val="18"/>
                <w:szCs w:val="18"/>
              </w:rPr>
              <w:t>;105:664</w:t>
            </w:r>
            <w:proofErr w:type="gramEnd"/>
            <w:r w:rsidRPr="00295ABA">
              <w:rPr>
                <w:rFonts w:ascii="Verdana" w:eastAsia="Times New Roman" w:hAnsi="Verdana" w:cs="Times New Roman"/>
                <w:color w:val="000000"/>
                <w:sz w:val="18"/>
                <w:szCs w:val="18"/>
              </w:rPr>
              <w:t>-72.  </w:t>
            </w:r>
            <w:r>
              <w:rPr>
                <w:rFonts w:ascii="Arial" w:eastAsia="Times New Roman" w:hAnsi="Arial" w:cs="Arial"/>
                <w:noProof/>
                <w:color w:val="004080"/>
                <w:sz w:val="18"/>
                <w:szCs w:val="18"/>
              </w:rPr>
              <w:drawing>
                <wp:inline distT="0" distB="0" distL="0" distR="0">
                  <wp:extent cx="95250" cy="95250"/>
                  <wp:effectExtent l="19050" t="0" r="0" b="0"/>
                  <wp:docPr id="20" name="Picture 20" descr="Back to cited text no. 15">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Back to cited text no. 15">
                            <a:hlinkClick r:id="rId59"/>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37" w:name="ref16"/>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lastRenderedPageBreak/>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"ft16"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16.</w:t>
            </w:r>
            <w:r w:rsidRPr="00295ABA">
              <w:rPr>
                <w:rFonts w:ascii="Verdana" w:eastAsia="Times New Roman" w:hAnsi="Verdana" w:cs="Times New Roman"/>
                <w:color w:val="000000"/>
                <w:sz w:val="18"/>
                <w:szCs w:val="18"/>
              </w:rPr>
              <w:fldChar w:fldCharType="end"/>
            </w:r>
            <w:bookmarkEnd w:id="37"/>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Montero Mora P, Gonzαlez Pιrez Mdel C, Almeida Arvizu V, Matta Campos JJ. Autoimmune urticaria: Treatment with methotrexate. Rev Alerg Mex 2004</w:t>
            </w:r>
            <w:proofErr w:type="gramStart"/>
            <w:r w:rsidRPr="00295ABA">
              <w:rPr>
                <w:rFonts w:ascii="Verdana" w:eastAsia="Times New Roman" w:hAnsi="Verdana" w:cs="Times New Roman"/>
                <w:color w:val="000000"/>
                <w:sz w:val="18"/>
                <w:szCs w:val="18"/>
              </w:rPr>
              <w:t>;51:167</w:t>
            </w:r>
            <w:proofErr w:type="gramEnd"/>
            <w:r w:rsidRPr="00295ABA">
              <w:rPr>
                <w:rFonts w:ascii="Verdana" w:eastAsia="Times New Roman" w:hAnsi="Verdana" w:cs="Times New Roman"/>
                <w:color w:val="000000"/>
                <w:sz w:val="18"/>
                <w:szCs w:val="18"/>
              </w:rPr>
              <w:t>-72.  </w:t>
            </w:r>
            <w:r>
              <w:rPr>
                <w:rFonts w:ascii="Arial" w:eastAsia="Times New Roman" w:hAnsi="Arial" w:cs="Arial"/>
                <w:noProof/>
                <w:color w:val="004080"/>
                <w:sz w:val="18"/>
                <w:szCs w:val="18"/>
              </w:rPr>
              <w:drawing>
                <wp:inline distT="0" distB="0" distL="0" distR="0">
                  <wp:extent cx="95250" cy="95250"/>
                  <wp:effectExtent l="19050" t="0" r="0" b="0"/>
                  <wp:docPr id="21" name="Picture 21" descr="Back to cited text no. 16">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ack to cited text no. 16">
                            <a:hlinkClick r:id="rId60"/>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38" w:name="ref17"/>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"ft17"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17.</w:t>
            </w:r>
            <w:r w:rsidRPr="00295ABA">
              <w:rPr>
                <w:rFonts w:ascii="Verdana" w:eastAsia="Times New Roman" w:hAnsi="Verdana" w:cs="Times New Roman"/>
                <w:color w:val="000000"/>
                <w:sz w:val="18"/>
                <w:szCs w:val="18"/>
              </w:rPr>
              <w:fldChar w:fldCharType="end"/>
            </w:r>
            <w:bookmarkEnd w:id="38"/>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Godse KV. Methotrexate in autoimmune urticaria. Indian J Dermatol Venereol Leprol 2004; 70:377.  </w:t>
            </w:r>
            <w:r>
              <w:rPr>
                <w:rFonts w:ascii="Arial" w:eastAsia="Times New Roman" w:hAnsi="Arial" w:cs="Arial"/>
                <w:noProof/>
                <w:color w:val="004080"/>
                <w:sz w:val="18"/>
                <w:szCs w:val="18"/>
              </w:rPr>
              <w:drawing>
                <wp:inline distT="0" distB="0" distL="0" distR="0">
                  <wp:extent cx="95250" cy="95250"/>
                  <wp:effectExtent l="19050" t="0" r="0" b="0"/>
                  <wp:docPr id="22" name="Picture 22" descr="Back to cited text no. 17">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ack to cited text no. 17">
                            <a:hlinkClick r:id="rId61"/>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hyperlink r:id="rId62" w:tgtFrame="_blank" w:history="1">
              <w:r w:rsidRPr="00295ABA">
                <w:rPr>
                  <w:rFonts w:ascii="Arial" w:eastAsia="Times New Roman" w:hAnsi="Arial" w:cs="Arial"/>
                  <w:color w:val="CC6601"/>
                  <w:sz w:val="17"/>
                </w:rPr>
                <w:t>PUBMED</w:t>
              </w:r>
            </w:hyperlink>
            <w:r w:rsidRPr="00295ABA">
              <w:rPr>
                <w:rFonts w:ascii="Verdana" w:eastAsia="Times New Roman" w:hAnsi="Verdana" w:cs="Times New Roman"/>
                <w:color w:val="000000"/>
                <w:sz w:val="18"/>
                <w:szCs w:val="18"/>
              </w:rPr>
              <w:t>]  [</w:t>
            </w:r>
            <w:hyperlink r:id="rId63" w:tgtFrame="_blank" w:history="1">
              <w:r w:rsidRPr="00295ABA">
                <w:rPr>
                  <w:rFonts w:ascii="Arial" w:eastAsia="Times New Roman" w:hAnsi="Arial" w:cs="Arial"/>
                  <w:color w:val="CC6601"/>
                  <w:sz w:val="17"/>
                </w:rPr>
                <w:t>FULLTEXT</w:t>
              </w:r>
            </w:hyperlink>
            <w:r w:rsidRPr="00295ABA">
              <w:rPr>
                <w:rFonts w:ascii="Verdana" w:eastAsia="Times New Roman" w:hAnsi="Verdana" w:cs="Times New Roman"/>
                <w:color w:val="000000"/>
                <w:sz w:val="18"/>
                <w:szCs w:val="18"/>
              </w:rPr>
              <w:t>]</w:t>
            </w:r>
          </w:p>
        </w:tc>
      </w:tr>
      <w:bookmarkStart w:id="39" w:name="ref18"/>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"ft18"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18.</w:t>
            </w:r>
            <w:r w:rsidRPr="00295ABA">
              <w:rPr>
                <w:rFonts w:ascii="Verdana" w:eastAsia="Times New Roman" w:hAnsi="Verdana" w:cs="Times New Roman"/>
                <w:color w:val="000000"/>
                <w:sz w:val="18"/>
                <w:szCs w:val="18"/>
              </w:rPr>
              <w:fldChar w:fldCharType="end"/>
            </w:r>
            <w:bookmarkEnd w:id="39"/>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O'Donnell BF, Barr RM, Black AK, Francis DM, Karmani F, Niimi N,</w:t>
            </w:r>
            <w:r w:rsidRPr="00295ABA">
              <w:rPr>
                <w:rFonts w:ascii="Verdana" w:eastAsia="Times New Roman" w:hAnsi="Verdana" w:cs="Times New Roman"/>
                <w:color w:val="000000"/>
                <w:sz w:val="18"/>
              </w:rPr>
              <w:t> </w:t>
            </w:r>
            <w:r w:rsidRPr="00295ABA">
              <w:rPr>
                <w:rFonts w:ascii="Verdana" w:eastAsia="Times New Roman" w:hAnsi="Verdana" w:cs="Times New Roman"/>
                <w:i/>
                <w:iCs/>
                <w:color w:val="000000"/>
                <w:sz w:val="18"/>
                <w:szCs w:val="18"/>
              </w:rPr>
              <w:t>et al.</w:t>
            </w:r>
            <w:r w:rsidRPr="00295ABA">
              <w:rPr>
                <w:rFonts w:ascii="Verdana" w:eastAsia="Times New Roman" w:hAnsi="Verdana" w:cs="Times New Roman"/>
                <w:color w:val="000000"/>
                <w:sz w:val="18"/>
              </w:rPr>
              <w:t> </w:t>
            </w:r>
            <w:r w:rsidRPr="00295ABA">
              <w:rPr>
                <w:rFonts w:ascii="Verdana" w:eastAsia="Times New Roman" w:hAnsi="Verdana" w:cs="Times New Roman"/>
                <w:color w:val="000000"/>
                <w:sz w:val="18"/>
                <w:szCs w:val="18"/>
              </w:rPr>
              <w:t>Intravenous immunoglobulin in autoimmune chronic urticaria. Br J Dermatol 1998</w:t>
            </w:r>
            <w:proofErr w:type="gramStart"/>
            <w:r w:rsidRPr="00295ABA">
              <w:rPr>
                <w:rFonts w:ascii="Verdana" w:eastAsia="Times New Roman" w:hAnsi="Verdana" w:cs="Times New Roman"/>
                <w:color w:val="000000"/>
                <w:sz w:val="18"/>
                <w:szCs w:val="18"/>
              </w:rPr>
              <w:t>;138:101</w:t>
            </w:r>
            <w:proofErr w:type="gramEnd"/>
            <w:r w:rsidRPr="00295ABA">
              <w:rPr>
                <w:rFonts w:ascii="Verdana" w:eastAsia="Times New Roman" w:hAnsi="Verdana" w:cs="Times New Roman"/>
                <w:color w:val="000000"/>
                <w:sz w:val="18"/>
                <w:szCs w:val="18"/>
              </w:rPr>
              <w:t>-6.  </w:t>
            </w:r>
            <w:r>
              <w:rPr>
                <w:rFonts w:ascii="Arial" w:eastAsia="Times New Roman" w:hAnsi="Arial" w:cs="Arial"/>
                <w:noProof/>
                <w:color w:val="004080"/>
                <w:sz w:val="18"/>
                <w:szCs w:val="18"/>
              </w:rPr>
              <w:drawing>
                <wp:inline distT="0" distB="0" distL="0" distR="0">
                  <wp:extent cx="95250" cy="95250"/>
                  <wp:effectExtent l="19050" t="0" r="0" b="0"/>
                  <wp:docPr id="23" name="Picture 23" descr="Back to cited text no. 18">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ck to cited text no. 18">
                            <a:hlinkClick r:id="rId64"/>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40" w:name="ref19"/>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"ft19"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19.</w:t>
            </w:r>
            <w:r w:rsidRPr="00295ABA">
              <w:rPr>
                <w:rFonts w:ascii="Verdana" w:eastAsia="Times New Roman" w:hAnsi="Verdana" w:cs="Times New Roman"/>
                <w:color w:val="000000"/>
                <w:sz w:val="18"/>
                <w:szCs w:val="18"/>
              </w:rPr>
              <w:fldChar w:fldCharType="end"/>
            </w:r>
            <w:bookmarkEnd w:id="40"/>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Klote MM, Nelson MR, Engler RJ. Autoimmune urticaria response to high dose intravenous immunoglobulin. Ann Allergy Asthma Immunol 2005</w:t>
            </w:r>
            <w:proofErr w:type="gramStart"/>
            <w:r w:rsidRPr="00295ABA">
              <w:rPr>
                <w:rFonts w:ascii="Verdana" w:eastAsia="Times New Roman" w:hAnsi="Verdana" w:cs="Times New Roman"/>
                <w:color w:val="000000"/>
                <w:sz w:val="18"/>
                <w:szCs w:val="18"/>
              </w:rPr>
              <w:t>;94:307</w:t>
            </w:r>
            <w:proofErr w:type="gramEnd"/>
            <w:r w:rsidRPr="00295ABA">
              <w:rPr>
                <w:rFonts w:ascii="Verdana" w:eastAsia="Times New Roman" w:hAnsi="Verdana" w:cs="Times New Roman"/>
                <w:color w:val="000000"/>
                <w:sz w:val="18"/>
                <w:szCs w:val="18"/>
              </w:rPr>
              <w:t>-8.  </w:t>
            </w:r>
            <w:r>
              <w:rPr>
                <w:rFonts w:ascii="Arial" w:eastAsia="Times New Roman" w:hAnsi="Arial" w:cs="Arial"/>
                <w:noProof/>
                <w:color w:val="004080"/>
                <w:sz w:val="18"/>
                <w:szCs w:val="18"/>
              </w:rPr>
              <w:drawing>
                <wp:inline distT="0" distB="0" distL="0" distR="0">
                  <wp:extent cx="95250" cy="95250"/>
                  <wp:effectExtent l="19050" t="0" r="0" b="0"/>
                  <wp:docPr id="24" name="Picture 24" descr="Back to cited text no. 19">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 to cited text no. 19">
                            <a:hlinkClick r:id="rId65"/>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41" w:name="ref20"/>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"ft20"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20.</w:t>
            </w:r>
            <w:r w:rsidRPr="00295ABA">
              <w:rPr>
                <w:rFonts w:ascii="Verdana" w:eastAsia="Times New Roman" w:hAnsi="Verdana" w:cs="Times New Roman"/>
                <w:color w:val="000000"/>
                <w:sz w:val="18"/>
                <w:szCs w:val="18"/>
              </w:rPr>
              <w:fldChar w:fldCharType="end"/>
            </w:r>
            <w:bookmarkEnd w:id="41"/>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Rütter A, Luger TA. High-dose intravenous immunoglobulins: An approach to treat severe immune-mediated and autoimmune diseases of the skin. J Am Acad Dermatol 2001</w:t>
            </w:r>
            <w:proofErr w:type="gramStart"/>
            <w:r w:rsidRPr="00295ABA">
              <w:rPr>
                <w:rFonts w:ascii="Verdana" w:eastAsia="Times New Roman" w:hAnsi="Verdana" w:cs="Times New Roman"/>
                <w:color w:val="000000"/>
                <w:sz w:val="18"/>
                <w:szCs w:val="18"/>
              </w:rPr>
              <w:t>;44:1010</w:t>
            </w:r>
            <w:proofErr w:type="gramEnd"/>
            <w:r w:rsidRPr="00295ABA">
              <w:rPr>
                <w:rFonts w:ascii="Verdana" w:eastAsia="Times New Roman" w:hAnsi="Verdana" w:cs="Times New Roman"/>
                <w:color w:val="000000"/>
                <w:sz w:val="18"/>
                <w:szCs w:val="18"/>
              </w:rPr>
              <w:t>-24.  </w:t>
            </w:r>
            <w:r>
              <w:rPr>
                <w:rFonts w:ascii="Arial" w:eastAsia="Times New Roman" w:hAnsi="Arial" w:cs="Arial"/>
                <w:noProof/>
                <w:color w:val="004080"/>
                <w:sz w:val="18"/>
                <w:szCs w:val="18"/>
              </w:rPr>
              <w:drawing>
                <wp:inline distT="0" distB="0" distL="0" distR="0">
                  <wp:extent cx="95250" cy="95250"/>
                  <wp:effectExtent l="19050" t="0" r="0" b="0"/>
                  <wp:docPr id="25" name="Picture 25" descr="Back to cited text no. 20">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ck to cited text no. 20">
                            <a:hlinkClick r:id="rId66"/>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bookmarkStart w:id="42" w:name="ref21"/>
      <w:tr w:rsidR="00295ABA" w:rsidRPr="00295ABA" w:rsidTr="00295ABA">
        <w:trPr>
          <w:tblCellSpacing w:w="0" w:type="dxa"/>
        </w:trPr>
        <w:tc>
          <w:tcPr>
            <w:tcW w:w="250" w:type="pct"/>
            <w:shd w:val="clear" w:color="auto" w:fill="FFFFFF"/>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fldChar w:fldCharType="begin"/>
            </w:r>
            <w:r w:rsidRPr="00295ABA">
              <w:rPr>
                <w:rFonts w:ascii="Verdana" w:eastAsia="Times New Roman" w:hAnsi="Verdana" w:cs="Times New Roman"/>
                <w:color w:val="000000"/>
                <w:sz w:val="18"/>
                <w:szCs w:val="18"/>
              </w:rPr>
              <w:instrText xml:space="preserve"> HYPERLINK "http://www.ijdvl.com/article.asp?issn=0378-6323;year=2008;volume=74;issue=2;spage=89;epage=91;aulast=Inamadar" \l "ft21" </w:instrText>
            </w:r>
            <w:r w:rsidRPr="00295ABA">
              <w:rPr>
                <w:rFonts w:ascii="Verdana" w:eastAsia="Times New Roman" w:hAnsi="Verdana" w:cs="Times New Roman"/>
                <w:color w:val="000000"/>
                <w:sz w:val="18"/>
                <w:szCs w:val="18"/>
              </w:rPr>
              <w:fldChar w:fldCharType="separate"/>
            </w:r>
            <w:r w:rsidRPr="00295ABA">
              <w:rPr>
                <w:rFonts w:ascii="Arial" w:eastAsia="Times New Roman" w:hAnsi="Arial" w:cs="Arial"/>
                <w:color w:val="CC6601"/>
                <w:sz w:val="17"/>
              </w:rPr>
              <w:t>21.</w:t>
            </w:r>
            <w:r w:rsidRPr="00295ABA">
              <w:rPr>
                <w:rFonts w:ascii="Verdana" w:eastAsia="Times New Roman" w:hAnsi="Verdana" w:cs="Times New Roman"/>
                <w:color w:val="000000"/>
                <w:sz w:val="18"/>
                <w:szCs w:val="18"/>
              </w:rPr>
              <w:fldChar w:fldCharType="end"/>
            </w:r>
            <w:bookmarkEnd w:id="42"/>
          </w:p>
        </w:tc>
        <w:tc>
          <w:tcPr>
            <w:tcW w:w="0" w:type="auto"/>
            <w:shd w:val="clear" w:color="auto" w:fill="FFFFFF"/>
            <w:vAlign w:val="center"/>
            <w:hideMark/>
          </w:tcPr>
          <w:p w:rsidR="00295ABA" w:rsidRPr="00295ABA" w:rsidRDefault="00295ABA" w:rsidP="00295ABA">
            <w:pPr>
              <w:spacing w:after="0" w:line="270" w:lineRule="atLeast"/>
              <w:rPr>
                <w:rFonts w:ascii="Verdana" w:eastAsia="Times New Roman" w:hAnsi="Verdana" w:cs="Times New Roman"/>
                <w:color w:val="000000"/>
                <w:sz w:val="18"/>
                <w:szCs w:val="18"/>
              </w:rPr>
            </w:pPr>
            <w:r w:rsidRPr="00295ABA">
              <w:rPr>
                <w:rFonts w:ascii="Verdana" w:eastAsia="Times New Roman" w:hAnsi="Verdana" w:cs="Times New Roman"/>
                <w:color w:val="000000"/>
                <w:sz w:val="18"/>
                <w:szCs w:val="18"/>
              </w:rPr>
              <w:t>Grattan CE, Francis DM, Slater NG, Barlow RJ, Greaves MW. Plasmapheresis for severe, unremitting, chronic urticaria. Lancet 1992</w:t>
            </w:r>
            <w:proofErr w:type="gramStart"/>
            <w:r w:rsidRPr="00295ABA">
              <w:rPr>
                <w:rFonts w:ascii="Verdana" w:eastAsia="Times New Roman" w:hAnsi="Verdana" w:cs="Times New Roman"/>
                <w:color w:val="000000"/>
                <w:sz w:val="18"/>
                <w:szCs w:val="18"/>
              </w:rPr>
              <w:t>;339:1078</w:t>
            </w:r>
            <w:proofErr w:type="gramEnd"/>
            <w:r w:rsidRPr="00295ABA">
              <w:rPr>
                <w:rFonts w:ascii="Verdana" w:eastAsia="Times New Roman" w:hAnsi="Verdana" w:cs="Times New Roman"/>
                <w:color w:val="000000"/>
                <w:sz w:val="18"/>
                <w:szCs w:val="18"/>
              </w:rPr>
              <w:t>-80.  </w:t>
            </w:r>
            <w:r>
              <w:rPr>
                <w:rFonts w:ascii="Arial" w:eastAsia="Times New Roman" w:hAnsi="Arial" w:cs="Arial"/>
                <w:noProof/>
                <w:color w:val="004080"/>
                <w:sz w:val="18"/>
                <w:szCs w:val="18"/>
              </w:rPr>
              <w:drawing>
                <wp:inline distT="0" distB="0" distL="0" distR="0">
                  <wp:extent cx="95250" cy="95250"/>
                  <wp:effectExtent l="19050" t="0" r="0" b="0"/>
                  <wp:docPr id="26" name="Picture 26" descr="Back to cited text no. 21">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ck to cited text no. 21">
                            <a:hlinkClick r:id="rId67"/>
                          </pic:cNvPr>
                          <pic:cNvPicPr>
                            <a:picLocks noChangeAspect="1" noChangeArrowheads="1"/>
                          </pic:cNvPicPr>
                        </pic:nvPicPr>
                        <pic:blipFill>
                          <a:blip r:embed="rId4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295ABA">
              <w:rPr>
                <w:rFonts w:ascii="Verdana" w:eastAsia="Times New Roman" w:hAnsi="Verdana" w:cs="Times New Roman"/>
                <w:color w:val="000000"/>
                <w:sz w:val="18"/>
                <w:szCs w:val="18"/>
              </w:rPr>
              <w:t>    </w:t>
            </w:r>
          </w:p>
        </w:tc>
      </w:tr>
    </w:tbl>
    <w:p w:rsidR="00971F25" w:rsidRDefault="00971F25"/>
    <w:sectPr w:rsidR="00971F25" w:rsidSect="00971F2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295ABA"/>
    <w:rsid w:val="00295ABA"/>
    <w:rsid w:val="00971F2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1F2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95AB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295ABA"/>
    <w:rPr>
      <w:color w:val="0000FF"/>
      <w:u w:val="single"/>
    </w:rPr>
  </w:style>
  <w:style w:type="character" w:customStyle="1" w:styleId="apple-converted-space">
    <w:name w:val="apple-converted-space"/>
    <w:basedOn w:val="DefaultParagraphFont"/>
    <w:rsid w:val="00295ABA"/>
  </w:style>
  <w:style w:type="paragraph" w:styleId="BalloonText">
    <w:name w:val="Balloon Text"/>
    <w:basedOn w:val="Normal"/>
    <w:link w:val="BalloonTextChar"/>
    <w:uiPriority w:val="99"/>
    <w:semiHidden/>
    <w:unhideWhenUsed/>
    <w:rsid w:val="00295A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5AB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50476105">
      <w:bodyDiv w:val="1"/>
      <w:marLeft w:val="0"/>
      <w:marRight w:val="0"/>
      <w:marTop w:val="0"/>
      <w:marBottom w:val="0"/>
      <w:divBdr>
        <w:top w:val="none" w:sz="0" w:space="0" w:color="auto"/>
        <w:left w:val="none" w:sz="0" w:space="0" w:color="auto"/>
        <w:bottom w:val="none" w:sz="0" w:space="0" w:color="auto"/>
        <w:right w:val="none" w:sz="0" w:space="0" w:color="auto"/>
      </w:divBdr>
      <w:divsChild>
        <w:div w:id="1060636754">
          <w:marLeft w:val="0"/>
          <w:marRight w:val="0"/>
          <w:marTop w:val="0"/>
          <w:marBottom w:val="0"/>
          <w:divBdr>
            <w:top w:val="single" w:sz="2" w:space="8" w:color="DDDDDD"/>
            <w:left w:val="single" w:sz="2" w:space="8" w:color="DDDDDD"/>
            <w:bottom w:val="single" w:sz="2" w:space="8" w:color="DDDDDD"/>
            <w:right w:val="single" w:sz="2" w:space="8" w:color="DDDDDD"/>
          </w:divBdr>
          <w:divsChild>
            <w:div w:id="921136835">
              <w:marLeft w:val="0"/>
              <w:marRight w:val="0"/>
              <w:marTop w:val="0"/>
              <w:marBottom w:val="0"/>
              <w:divBdr>
                <w:top w:val="single" w:sz="6" w:space="3" w:color="DDDDDD"/>
                <w:left w:val="single" w:sz="6" w:space="3" w:color="DDDDDD"/>
                <w:bottom w:val="single" w:sz="6" w:space="3" w:color="DDDDDD"/>
                <w:right w:val="single" w:sz="6" w:space="3" w:color="DDDDDD"/>
              </w:divBdr>
            </w:div>
          </w:divsChild>
        </w:div>
        <w:div w:id="12616003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ijdvl.com/text.asp?2008/74/2/89/39686" TargetMode="External"/><Relationship Id="rId18" Type="http://schemas.openxmlformats.org/officeDocument/2006/relationships/hyperlink" Target="http://www.ijdvl.com/article.asp?issn=0378-6323;year=2008;volume=74;issue=2;spage=89;epage=91;aulast=Inamadar" TargetMode="External"/><Relationship Id="rId26" Type="http://schemas.openxmlformats.org/officeDocument/2006/relationships/hyperlink" Target="http://www.ijdvl.com/article.asp?issn=0378-6323;year=2008;volume=74;issue=2;spage=89;epage=91;aulast=Inamadar" TargetMode="External"/><Relationship Id="rId39" Type="http://schemas.openxmlformats.org/officeDocument/2006/relationships/hyperlink" Target="http://www.ijdvl.com/article.asp?issn=0378-6323;year=2008;volume=74;issue=2;spage=89;epage=91;aulast=Inamadar" TargetMode="External"/><Relationship Id="rId21" Type="http://schemas.openxmlformats.org/officeDocument/2006/relationships/hyperlink" Target="http://www.ijdvl.com/viewimage.asp?img=ijdvl_2008_74_2_89_39686_1.jpg" TargetMode="External"/><Relationship Id="rId34" Type="http://schemas.openxmlformats.org/officeDocument/2006/relationships/hyperlink" Target="http://www.ijdvl.com/article.asp?issn=0378-6323;year=2008;volume=74;issue=2;spage=89;epage=91;aulast=Inamadar" TargetMode="External"/><Relationship Id="rId42" Type="http://schemas.openxmlformats.org/officeDocument/2006/relationships/hyperlink" Target="http://www.ijdvl.com/article.asp?issn=0378-6323;year=2008;volume=74;issue=2;spage=89;epage=91;aulast=Inamadar#top" TargetMode="External"/><Relationship Id="rId47" Type="http://schemas.openxmlformats.org/officeDocument/2006/relationships/hyperlink" Target="http://www.ijdvl.com/article.asp?issn=0378-6323;year=2008;volume=74;issue=2;spage=89;epage=91;aulast=Inamadar#ft3" TargetMode="External"/><Relationship Id="rId50" Type="http://schemas.openxmlformats.org/officeDocument/2006/relationships/hyperlink" Target="http://www.ijdvl.com/article.asp?issn=0378-6323;year=2008;volume=74;issue=2;spage=89;epage=91;aulast=Inamadar#ft6" TargetMode="External"/><Relationship Id="rId55" Type="http://schemas.openxmlformats.org/officeDocument/2006/relationships/hyperlink" Target="http://www.ijdvl.com/article.asp?issn=0378-6323;year=2008;volume=74;issue=2;spage=89;epage=91;aulast=Inamadar#ft11" TargetMode="External"/><Relationship Id="rId63" Type="http://schemas.openxmlformats.org/officeDocument/2006/relationships/hyperlink" Target="http://www.ijdvl.com/article.asp?issn=0378-6323;year=2004;volume=70;issue=6;spage=377;epage=377;aulast=Godse" TargetMode="External"/><Relationship Id="rId68" Type="http://schemas.openxmlformats.org/officeDocument/2006/relationships/fontTable" Target="fontTable.xml"/><Relationship Id="rId7" Type="http://schemas.openxmlformats.org/officeDocument/2006/relationships/image" Target="media/image1.gif"/><Relationship Id="rId2" Type="http://schemas.openxmlformats.org/officeDocument/2006/relationships/settings" Target="settings.xml"/><Relationship Id="rId16" Type="http://schemas.openxmlformats.org/officeDocument/2006/relationships/hyperlink" Target="http://www.ijdvl.com/article.asp?issn=0378-6323;year=2008;volume=74;issue=2;spage=89;epage=91;aulast=Inamadar" TargetMode="External"/><Relationship Id="rId29" Type="http://schemas.openxmlformats.org/officeDocument/2006/relationships/hyperlink" Target="http://www.ijdvl.com/article.asp?issn=0378-6323;year=2008;volume=74;issue=2;spage=89;epage=91;aulast=Inamadar" TargetMode="External"/><Relationship Id="rId1" Type="http://schemas.openxmlformats.org/officeDocument/2006/relationships/styles" Target="styles.xml"/><Relationship Id="rId6" Type="http://schemas.openxmlformats.org/officeDocument/2006/relationships/hyperlink" Target="http://www.ijdvl.com/login.asp?rd=article.asp?issn=0378-6323;year=2008;volume=74;issue=2;spage=89;epage=91;aulast=Inamadar" TargetMode="External"/><Relationship Id="rId11" Type="http://schemas.openxmlformats.org/officeDocument/2006/relationships/hyperlink" Target="http://www.copyright.com/ccc/openurl.do?sid=Medknow&amp;issn=0378-6323&amp;servicename=all&amp;WT.mc_id=Medknow" TargetMode="External"/><Relationship Id="rId24" Type="http://schemas.openxmlformats.org/officeDocument/2006/relationships/hyperlink" Target="http://www.ijdvl.com/article.asp?issn=0378-6323;year=2008;volume=74;issue=2;spage=89;epage=91;aulast=Inamadar" TargetMode="External"/><Relationship Id="rId32" Type="http://schemas.openxmlformats.org/officeDocument/2006/relationships/hyperlink" Target="http://www.ijdvl.com/article.asp?issn=0378-6323;year=2008;volume=74;issue=2;spage=89;epage=91;aulast=Inamadar" TargetMode="External"/><Relationship Id="rId37" Type="http://schemas.openxmlformats.org/officeDocument/2006/relationships/hyperlink" Target="http://www.ijdvl.com/article.asp?issn=0378-6323;year=2008;volume=74;issue=2;spage=89;epage=91;aulast=Inamadar" TargetMode="External"/><Relationship Id="rId40" Type="http://schemas.openxmlformats.org/officeDocument/2006/relationships/hyperlink" Target="http://www.ijdvl.com/article.asp?issn=0378-6323;year=2008;volume=74;issue=2;spage=89;epage=91;aulast=Inamadar" TargetMode="External"/><Relationship Id="rId45" Type="http://schemas.openxmlformats.org/officeDocument/2006/relationships/image" Target="media/image6.gif"/><Relationship Id="rId53" Type="http://schemas.openxmlformats.org/officeDocument/2006/relationships/hyperlink" Target="http://www.ijdvl.com/article.asp?issn=0378-6323;year=2008;volume=74;issue=2;spage=89;epage=91;aulast=Inamadar#ft9" TargetMode="External"/><Relationship Id="rId58" Type="http://schemas.openxmlformats.org/officeDocument/2006/relationships/hyperlink" Target="http://www.ijdvl.com/article.asp?issn=0378-6323;year=2008;volume=74;issue=2;spage=89;epage=91;aulast=Inamadar#ft14" TargetMode="External"/><Relationship Id="rId66" Type="http://schemas.openxmlformats.org/officeDocument/2006/relationships/hyperlink" Target="http://www.ijdvl.com/article.asp?issn=0378-6323;year=2008;volume=74;issue=2;spage=89;epage=91;aulast=Inamadar#ft20" TargetMode="External"/><Relationship Id="rId5" Type="http://schemas.openxmlformats.org/officeDocument/2006/relationships/hyperlink" Target="http://www.ijdvl.com/searchresult.asp?search=&amp;author=Aparna+Palit&amp;journal=Y&amp;but_search=Search&amp;entries=10&amp;pg=1&amp;s=0" TargetMode="External"/><Relationship Id="rId15" Type="http://schemas.openxmlformats.org/officeDocument/2006/relationships/hyperlink" Target="http://www.ijdvl.com/article.asp?issn=0378-6323;year=2008;volume=74;issue=2;spage=89;epage=91;aulast=Inamadar" TargetMode="External"/><Relationship Id="rId23" Type="http://schemas.openxmlformats.org/officeDocument/2006/relationships/hyperlink" Target="http://www.ijdvl.com/article.asp?issn=0378-6323;year=2008;volume=74;issue=2;spage=89;epage=91;aulast=Inamadar" TargetMode="External"/><Relationship Id="rId28" Type="http://schemas.openxmlformats.org/officeDocument/2006/relationships/hyperlink" Target="http://www.ijdvl.com/article.asp?issn=0378-6323;year=2008;volume=74;issue=2;spage=89;epage=91;aulast=Inamadar" TargetMode="External"/><Relationship Id="rId36" Type="http://schemas.openxmlformats.org/officeDocument/2006/relationships/hyperlink" Target="http://www.ijdvl.com/article.asp?issn=0378-6323;year=2008;volume=74;issue=2;spage=89;epage=91;aulast=Inamadar" TargetMode="External"/><Relationship Id="rId49" Type="http://schemas.openxmlformats.org/officeDocument/2006/relationships/hyperlink" Target="http://www.ijdvl.com/article.asp?issn=0378-6323;year=2008;volume=74;issue=2;spage=89;epage=91;aulast=Inamadar#ft5" TargetMode="External"/><Relationship Id="rId57" Type="http://schemas.openxmlformats.org/officeDocument/2006/relationships/hyperlink" Target="http://www.ijdvl.com/article.asp?issn=0378-6323;year=2008;volume=74;issue=2;spage=89;epage=91;aulast=Inamadar#ft13" TargetMode="External"/><Relationship Id="rId61" Type="http://schemas.openxmlformats.org/officeDocument/2006/relationships/hyperlink" Target="http://www.ijdvl.com/article.asp?issn=0378-6323;year=2008;volume=74;issue=2;spage=89;epage=91;aulast=Inamadar#ft17" TargetMode="External"/><Relationship Id="rId10" Type="http://schemas.openxmlformats.org/officeDocument/2006/relationships/hyperlink" Target="http://www.ncbi.nlm.nih.gov/pmc/?linkname=pubmed_pmc_refs&amp;from_uid=18388361" TargetMode="External"/><Relationship Id="rId19" Type="http://schemas.openxmlformats.org/officeDocument/2006/relationships/hyperlink" Target="http://www.ijdvl.com/article.asp?issn=0378-6323;year=2008;volume=74;issue=2;spage=89;epage=91;aulast=Inamadar" TargetMode="External"/><Relationship Id="rId31" Type="http://schemas.openxmlformats.org/officeDocument/2006/relationships/hyperlink" Target="http://www.ijdvl.com/article.asp?issn=0378-6323;year=2008;volume=74;issue=2;spage=89;epage=91;aulast=Inamadar" TargetMode="External"/><Relationship Id="rId44" Type="http://schemas.openxmlformats.org/officeDocument/2006/relationships/hyperlink" Target="http://www.ijdvl.com/article.asp?issn=0378-6323;year=2008;volume=74;issue=2;spage=89;epage=91;aulast=Inamadar#ft1" TargetMode="External"/><Relationship Id="rId52" Type="http://schemas.openxmlformats.org/officeDocument/2006/relationships/hyperlink" Target="http://www.ijdvl.com/article.asp?issn=0378-6323;year=2008;volume=74;issue=2;spage=89;epage=91;aulast=Inamadar#ft8" TargetMode="External"/><Relationship Id="rId60" Type="http://schemas.openxmlformats.org/officeDocument/2006/relationships/hyperlink" Target="http://www.ijdvl.com/article.asp?issn=0378-6323;year=2008;volume=74;issue=2;spage=89;epage=91;aulast=Inamadar#ft16" TargetMode="External"/><Relationship Id="rId65" Type="http://schemas.openxmlformats.org/officeDocument/2006/relationships/hyperlink" Target="http://www.ijdvl.com/article.asp?issn=0378-6323;year=2008;volume=74;issue=2;spage=89;epage=91;aulast=Inamadar#ft19" TargetMode="External"/><Relationship Id="rId4" Type="http://schemas.openxmlformats.org/officeDocument/2006/relationships/hyperlink" Target="http://www.ijdvl.com/searchresult.asp?search=&amp;author=Arun+C+Inamadar&amp;journal=Y&amp;but_search=Search&amp;entries=10&amp;pg=1&amp;s=0" TargetMode="External"/><Relationship Id="rId9" Type="http://schemas.openxmlformats.org/officeDocument/2006/relationships/image" Target="media/image3.png"/><Relationship Id="rId14" Type="http://schemas.openxmlformats.org/officeDocument/2006/relationships/hyperlink" Target="http://www.ijdvl.com/article.asp?issn=0378-6323;year=2008;volume=74;issue=2;spage=89;epage=91;aulast=Inamadar" TargetMode="External"/><Relationship Id="rId22" Type="http://schemas.openxmlformats.org/officeDocument/2006/relationships/hyperlink" Target="http://www.ijdvl.com/article.asp?issn=0378-6323;year=2008;volume=74;issue=2;spage=89;epage=91;aulast=Inamadar" TargetMode="External"/><Relationship Id="rId27" Type="http://schemas.openxmlformats.org/officeDocument/2006/relationships/hyperlink" Target="http://www.ijdvl.com/article.asp?issn=0378-6323;year=2008;volume=74;issue=2;spage=89;epage=91;aulast=Inamadar" TargetMode="External"/><Relationship Id="rId30" Type="http://schemas.openxmlformats.org/officeDocument/2006/relationships/hyperlink" Target="http://www.ijdvl.com/article.asp?issn=0378-6323;year=2008;volume=74;issue=2;spage=89;epage=91;aulast=Inamadar" TargetMode="External"/><Relationship Id="rId35" Type="http://schemas.openxmlformats.org/officeDocument/2006/relationships/hyperlink" Target="http://www.ijdvl.com/article.asp?issn=0378-6323;year=2008;volume=74;issue=2;spage=89;epage=91;aulast=Inamadar" TargetMode="External"/><Relationship Id="rId43" Type="http://schemas.openxmlformats.org/officeDocument/2006/relationships/image" Target="media/image5.gif"/><Relationship Id="rId48" Type="http://schemas.openxmlformats.org/officeDocument/2006/relationships/hyperlink" Target="http://www.ijdvl.com/article.asp?issn=0378-6323;year=2008;volume=74;issue=2;spage=89;epage=91;aulast=Inamadar#ft4" TargetMode="External"/><Relationship Id="rId56" Type="http://schemas.openxmlformats.org/officeDocument/2006/relationships/hyperlink" Target="http://www.ijdvl.com/article.asp?issn=0378-6323;year=2008;volume=74;issue=2;spage=89;epage=91;aulast=Inamadar#ft12" TargetMode="External"/><Relationship Id="rId64" Type="http://schemas.openxmlformats.org/officeDocument/2006/relationships/hyperlink" Target="http://www.ijdvl.com/article.asp?issn=0378-6323;year=2008;volume=74;issue=2;spage=89;epage=91;aulast=Inamadar#ft18" TargetMode="External"/><Relationship Id="rId69"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hyperlink" Target="http://www.ijdvl.com/article.asp?issn=0378-6323;year=2008;volume=74;issue=2;spage=89;epage=91;aulast=Inamadar#ft7" TargetMode="External"/><Relationship Id="rId3" Type="http://schemas.openxmlformats.org/officeDocument/2006/relationships/webSettings" Target="webSettings.xml"/><Relationship Id="rId12" Type="http://schemas.openxmlformats.org/officeDocument/2006/relationships/image" Target="media/image4.gif"/><Relationship Id="rId17" Type="http://schemas.openxmlformats.org/officeDocument/2006/relationships/hyperlink" Target="http://www.ijdvl.com/article.asp?issn=0378-6323;year=2008;volume=74;issue=2;spage=89;epage=91;aulast=Inamadar" TargetMode="External"/><Relationship Id="rId25" Type="http://schemas.openxmlformats.org/officeDocument/2006/relationships/hyperlink" Target="http://www.ijdvl.com/article.asp?issn=0378-6323;year=2008;volume=74;issue=2;spage=89;epage=91;aulast=Inamadar" TargetMode="External"/><Relationship Id="rId33" Type="http://schemas.openxmlformats.org/officeDocument/2006/relationships/hyperlink" Target="http://www.ijdvl.com/article.asp?issn=0378-6323;year=2008;volume=74;issue=2;spage=89;epage=91;aulast=Inamadar" TargetMode="External"/><Relationship Id="rId38" Type="http://schemas.openxmlformats.org/officeDocument/2006/relationships/hyperlink" Target="http://www.ijdvl.com/article.asp?issn=0378-6323;year=2008;volume=74;issue=2;spage=89;epage=91;aulast=Inamadar" TargetMode="External"/><Relationship Id="rId46" Type="http://schemas.openxmlformats.org/officeDocument/2006/relationships/hyperlink" Target="http://www.ijdvl.com/article.asp?issn=0378-6323;year=2008;volume=74;issue=2;spage=89;epage=91;aulast=Inamadar#ft2" TargetMode="External"/><Relationship Id="rId59" Type="http://schemas.openxmlformats.org/officeDocument/2006/relationships/hyperlink" Target="http://www.ijdvl.com/article.asp?issn=0378-6323;year=2008;volume=74;issue=2;spage=89;epage=91;aulast=Inamadar#ft15" TargetMode="External"/><Relationship Id="rId67" Type="http://schemas.openxmlformats.org/officeDocument/2006/relationships/hyperlink" Target="http://www.ijdvl.com/article.asp?issn=0378-6323;year=2008;volume=74;issue=2;spage=89;epage=91;aulast=Inamadar#ft21" TargetMode="External"/><Relationship Id="rId20" Type="http://schemas.openxmlformats.org/officeDocument/2006/relationships/hyperlink" Target="http://www.ijdvl.com/article.asp?issn=0378-6323;year=2008;volume=74;issue=2;spage=89;epage=91;aulast=Inamadar" TargetMode="External"/><Relationship Id="rId41" Type="http://schemas.openxmlformats.org/officeDocument/2006/relationships/hyperlink" Target="http://www.ijdvl.com/article.asp?issn=0378-6323;year=2008;volume=74;issue=2;spage=89;epage=91;aulast=Inamadar" TargetMode="External"/><Relationship Id="rId54" Type="http://schemas.openxmlformats.org/officeDocument/2006/relationships/hyperlink" Target="http://www.ijdvl.com/article.asp?issn=0378-6323;year=2008;volume=74;issue=2;spage=89;epage=91;aulast=Inamadar#ft10" TargetMode="External"/><Relationship Id="rId62" Type="http://schemas.openxmlformats.org/officeDocument/2006/relationships/hyperlink" Target="http://www.ncbi.nlm.nih.gov/entrez/query.fcgi?cmd=Retrieve&amp;db=PubMed&amp;list_uids=17642672%20&amp;dopt=Abstrac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3693</Words>
  <Characters>21053</Characters>
  <Application>Microsoft Office Word</Application>
  <DocSecurity>0</DocSecurity>
  <Lines>175</Lines>
  <Paragraphs>49</Paragraphs>
  <ScaleCrop>false</ScaleCrop>
  <Company/>
  <LinksUpToDate>false</LinksUpToDate>
  <CharactersWithSpaces>24697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M PATIL MEDICAL COLLEGE</dc:creator>
  <cp:keywords/>
  <dc:description/>
  <cp:lastModifiedBy>B M PATIL MEDICAL COLLEGE</cp:lastModifiedBy>
  <cp:revision>1</cp:revision>
  <dcterms:created xsi:type="dcterms:W3CDTF">2014-06-05T15:56:00Z</dcterms:created>
  <dcterms:modified xsi:type="dcterms:W3CDTF">2014-06-05T15:56:00Z</dcterms:modified>
</cp:coreProperties>
</file>